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7BD0" w14:textId="77777777" w:rsidR="00C43C66" w:rsidRDefault="00000000">
      <w:pPr>
        <w:jc w:val="center"/>
      </w:pPr>
      <w:r>
        <w:rPr>
          <w:b/>
          <w:sz w:val="36"/>
        </w:rPr>
        <w:t xml:space="preserve">Informe </w:t>
      </w:r>
      <w:proofErr w:type="spellStart"/>
      <w:r>
        <w:rPr>
          <w:b/>
          <w:sz w:val="36"/>
        </w:rPr>
        <w:t>ejecutivo</w:t>
      </w:r>
      <w:proofErr w:type="spellEnd"/>
      <w:r>
        <w:rPr>
          <w:b/>
          <w:sz w:val="36"/>
        </w:rPr>
        <w:br/>
      </w:r>
      <w:proofErr w:type="spellStart"/>
      <w:r>
        <w:rPr>
          <w:b/>
          <w:sz w:val="32"/>
        </w:rPr>
        <w:t>Análisis</w:t>
      </w:r>
      <w:proofErr w:type="spellEnd"/>
      <w:r>
        <w:rPr>
          <w:b/>
          <w:sz w:val="32"/>
        </w:rPr>
        <w:t xml:space="preserve"> del intercambio Ecuador – Colombia</w:t>
      </w:r>
      <w:r>
        <w:rPr>
          <w:b/>
          <w:sz w:val="32"/>
        </w:rPr>
        <w:br/>
      </w:r>
      <w:r>
        <w:rPr>
          <w:i/>
          <w:sz w:val="22"/>
        </w:rPr>
        <w:t>Comparación de diciembre 2024 – febrero 2025 versus diciembre 2025 – febrero 2026</w:t>
      </w:r>
    </w:p>
    <w:p w14:paraId="68B3A6EA" w14:textId="77777777" w:rsidR="00C43C66" w:rsidRDefault="00000000">
      <w:pPr>
        <w:jc w:val="center"/>
      </w:pPr>
      <w:r>
        <w:rPr>
          <w:sz w:val="20"/>
        </w:rPr>
        <w:t xml:space="preserve">Base de </w:t>
      </w:r>
      <w:proofErr w:type="spellStart"/>
      <w:r>
        <w:rPr>
          <w:sz w:val="20"/>
        </w:rPr>
        <w:t>análisis</w:t>
      </w:r>
      <w:proofErr w:type="spellEnd"/>
      <w:r>
        <w:rPr>
          <w:sz w:val="20"/>
        </w:rPr>
        <w:t xml:space="preserve">: </w:t>
      </w:r>
      <w:proofErr w:type="spellStart"/>
      <w:r>
        <w:rPr>
          <w:sz w:val="20"/>
        </w:rPr>
        <w:t>resultados</w:t>
      </w:r>
      <w:proofErr w:type="spellEnd"/>
      <w:r>
        <w:rPr>
          <w:sz w:val="20"/>
        </w:rPr>
        <w:t xml:space="preserve"> consolidados por capítulo arancelario y flujo comercial.</w:t>
      </w:r>
    </w:p>
    <w:p w14:paraId="4F173C5E" w14:textId="77777777" w:rsidR="00C43C66" w:rsidRDefault="00000000">
      <w:pPr>
        <w:pStyle w:val="Ttulo1"/>
      </w:pPr>
      <w:r>
        <w:t>1. Objetivo y alcance</w:t>
      </w:r>
    </w:p>
    <w:p w14:paraId="4973C86D" w14:textId="77777777" w:rsidR="00C43C66" w:rsidRDefault="00000000">
      <w:r>
        <w:t>Este informe evalúa la importancia relativa del vínculo comercial bilateral entre Ecuador y Colombia, con énfasis en escenarios de eventual interrupción o deterioro de la relación comercial. El análisis se organiza por país analizado, flujo comercial y capítulo arancelario, y compara dos ventanas estacionales homogéneas: diciembre de 2024 a febrero de 2025, frente a diciembre de 2025 a febrero de 2026.</w:t>
      </w:r>
    </w:p>
    <w:p w14:paraId="79DCD51C" w14:textId="77777777" w:rsidR="00C43C66" w:rsidRDefault="00000000">
      <w:r>
        <w:t>La lectura se hace desde cuatro perspectivas: i) importaciones de Ecuador desde Colombia, ii) exportaciones de Ecuador hacia Colombia, iii) importaciones de Colombia desde Ecuador y iv) exportaciones de Colombia hacia Ecuador. Para cada flujo se mide tanto la dependencia bilateral dentro del capítulo como la materialidad del capítulo bilateral dentro del total del flujo del país.</w:t>
      </w:r>
    </w:p>
    <w:p w14:paraId="27E8995F" w14:textId="77777777" w:rsidR="00C43C66" w:rsidRDefault="00000000">
      <w:pPr>
        <w:pStyle w:val="Ttulo1"/>
      </w:pPr>
      <w:r>
        <w:t>2. Criterio metodológico</w:t>
      </w:r>
    </w:p>
    <w:p w14:paraId="21509147" w14:textId="77777777" w:rsidR="00C43C66" w:rsidRDefault="00000000">
      <w:r>
        <w:t>Para Ecuador se trabajó con el régimen 10 en importaciones a consumo y con el régimen 40 en exportaciones. En Colombia se tomó como importación a consumo toda modalidad que inicia con C10, y como exportación definitiva la modalidad 198. En importaciones se privilegió el valor CIF; en exportaciones, el valor FOB.</w:t>
      </w:r>
    </w:p>
    <w:p w14:paraId="2AE21A60" w14:textId="77777777" w:rsidR="00C43C66" w:rsidRDefault="00000000">
      <w:r>
        <w:t>Los principales indicadores del informe son dos: a) porcentaje bilateral del capítulo, que mide la dependencia o exposición sectorial dentro del capítulo, y b) porcentaje del capítulo bilateral sobre el total del flujo del país, que mide la materialidad agregada del riesgo.</w:t>
      </w:r>
    </w:p>
    <w:p w14:paraId="3F1A9696" w14:textId="77777777" w:rsidR="00C43C66" w:rsidRDefault="00000000">
      <w:pPr>
        <w:pStyle w:val="Ttulo1"/>
      </w:pPr>
      <w:r>
        <w:t>3. Resumen ejecutivo</w:t>
      </w:r>
    </w:p>
    <w:p w14:paraId="7A0FDDCB" w14:textId="77777777" w:rsidR="00C43C66" w:rsidRDefault="00000000">
      <w:pPr>
        <w:pStyle w:val="Listaconvietas"/>
      </w:pPr>
      <w:r>
        <w:t>La mayor exposición agregada del vínculo bilateral se observa en las importaciones de Ecuador desde Colombia.</w:t>
      </w:r>
    </w:p>
    <w:p w14:paraId="4DBCA4C3" w14:textId="77777777" w:rsidR="00C43C66" w:rsidRDefault="00000000">
      <w:pPr>
        <w:pStyle w:val="Listaconvietas"/>
      </w:pPr>
      <w:r>
        <w:t>Entre los dos periodos comparados, dicha exposición se reduce en valor y en participación relativa.</w:t>
      </w:r>
    </w:p>
    <w:p w14:paraId="5909BBF5" w14:textId="77777777" w:rsidR="00C43C66" w:rsidRDefault="00000000">
      <w:pPr>
        <w:pStyle w:val="Listaconvietas"/>
      </w:pPr>
      <w:r>
        <w:t>Las exportaciones de Ecuador hacia Colombia aumentan en valor, pero su peso sobre el total exportado ecuatoriano cambia muy poco.</w:t>
      </w:r>
    </w:p>
    <w:p w14:paraId="657C8E27" w14:textId="77777777" w:rsidR="00C43C66" w:rsidRDefault="00000000">
      <w:pPr>
        <w:pStyle w:val="Listaconvietas"/>
      </w:pPr>
      <w:r>
        <w:t>La dependencia agregada de Colombia respecto de Ecuador es menor que la que muestra Ecuador respecto de Colombia, tanto por importaciones como por exportaciones.</w:t>
      </w:r>
    </w:p>
    <w:p w14:paraId="76665A70" w14:textId="77777777" w:rsidR="00C43C66" w:rsidRDefault="00000000">
      <w:pPr>
        <w:pStyle w:val="Listaconvietas"/>
      </w:pPr>
      <w:r>
        <w:t xml:space="preserve">El riesgo no es homogéneo: está concentrado en capítulos específicos y, por tanto, su </w:t>
      </w:r>
      <w:proofErr w:type="spellStart"/>
      <w:r>
        <w:t>gestión</w:t>
      </w:r>
      <w:proofErr w:type="spellEnd"/>
      <w:r>
        <w:t xml:space="preserve"> </w:t>
      </w:r>
      <w:proofErr w:type="spellStart"/>
      <w:r>
        <w:t>debe</w:t>
      </w:r>
      <w:proofErr w:type="spellEnd"/>
      <w:r>
        <w:t xml:space="preserve"> ser sectorial.</w:t>
      </w:r>
    </w:p>
    <w:p w14:paraId="0C274C9A" w14:textId="77777777" w:rsidR="00771FCA" w:rsidRDefault="00771FCA" w:rsidP="00771FCA">
      <w:pPr>
        <w:pStyle w:val="Listaconvietas"/>
        <w:numPr>
          <w:ilvl w:val="0"/>
          <w:numId w:val="0"/>
        </w:numPr>
        <w:ind w:left="360" w:hanging="360"/>
      </w:pPr>
    </w:p>
    <w:p w14:paraId="4FA86695" w14:textId="77777777" w:rsidR="00C43C66" w:rsidRDefault="00000000">
      <w:pPr>
        <w:pStyle w:val="Ttulo1"/>
      </w:pPr>
      <w:r>
        <w:lastRenderedPageBreak/>
        <w:t>4. Resultado agregado por país y flujo</w:t>
      </w:r>
    </w:p>
    <w:tbl>
      <w:tblPr>
        <w:tblStyle w:val="Tablaconcuadrcula"/>
        <w:tblW w:w="0" w:type="auto"/>
        <w:jc w:val="center"/>
        <w:tblLook w:val="04A0" w:firstRow="1" w:lastRow="0" w:firstColumn="1" w:lastColumn="0" w:noHBand="0" w:noVBand="1"/>
      </w:tblPr>
      <w:tblGrid>
        <w:gridCol w:w="1624"/>
        <w:gridCol w:w="1624"/>
        <w:gridCol w:w="1624"/>
        <w:gridCol w:w="1624"/>
        <w:gridCol w:w="1624"/>
        <w:gridCol w:w="1624"/>
      </w:tblGrid>
      <w:tr w:rsidR="00C43C66" w14:paraId="62CFCC18" w14:textId="77777777">
        <w:trPr>
          <w:jc w:val="center"/>
        </w:trPr>
        <w:tc>
          <w:tcPr>
            <w:tcW w:w="1624" w:type="dxa"/>
          </w:tcPr>
          <w:p w14:paraId="0A74518D" w14:textId="77777777" w:rsidR="00C43C66" w:rsidRDefault="00000000">
            <w:r>
              <w:t>País</w:t>
            </w:r>
          </w:p>
        </w:tc>
        <w:tc>
          <w:tcPr>
            <w:tcW w:w="1624" w:type="dxa"/>
          </w:tcPr>
          <w:p w14:paraId="2B694585" w14:textId="77777777" w:rsidR="00C43C66" w:rsidRDefault="00000000">
            <w:r>
              <w:t>Flujo</w:t>
            </w:r>
          </w:p>
        </w:tc>
        <w:tc>
          <w:tcPr>
            <w:tcW w:w="1624" w:type="dxa"/>
          </w:tcPr>
          <w:p w14:paraId="009CDB1C" w14:textId="77777777" w:rsidR="00C43C66" w:rsidRDefault="00000000">
            <w:r>
              <w:t>Bilateral P1</w:t>
            </w:r>
            <w:r>
              <w:br/>
              <w:t>USD MM</w:t>
            </w:r>
          </w:p>
        </w:tc>
        <w:tc>
          <w:tcPr>
            <w:tcW w:w="1624" w:type="dxa"/>
          </w:tcPr>
          <w:p w14:paraId="1C8E61D8" w14:textId="77777777" w:rsidR="00C43C66" w:rsidRDefault="00000000">
            <w:r>
              <w:t>Bilateral P2</w:t>
            </w:r>
            <w:r>
              <w:br/>
              <w:t>USD MM</w:t>
            </w:r>
          </w:p>
        </w:tc>
        <w:tc>
          <w:tcPr>
            <w:tcW w:w="1624" w:type="dxa"/>
          </w:tcPr>
          <w:p w14:paraId="1D4C5671" w14:textId="77777777" w:rsidR="00C43C66" w:rsidRDefault="00000000">
            <w:r>
              <w:t>% P1</w:t>
            </w:r>
          </w:p>
        </w:tc>
        <w:tc>
          <w:tcPr>
            <w:tcW w:w="1624" w:type="dxa"/>
          </w:tcPr>
          <w:p w14:paraId="149CEA28" w14:textId="77777777" w:rsidR="00C43C66" w:rsidRDefault="00000000">
            <w:r>
              <w:t>% P2</w:t>
            </w:r>
          </w:p>
        </w:tc>
      </w:tr>
      <w:tr w:rsidR="00C43C66" w14:paraId="408318E5" w14:textId="77777777">
        <w:trPr>
          <w:jc w:val="center"/>
        </w:trPr>
        <w:tc>
          <w:tcPr>
            <w:tcW w:w="1624" w:type="dxa"/>
          </w:tcPr>
          <w:p w14:paraId="58D5A8D2" w14:textId="77777777" w:rsidR="00C43C66" w:rsidRDefault="00000000">
            <w:r>
              <w:t>COLOMBIA</w:t>
            </w:r>
          </w:p>
        </w:tc>
        <w:tc>
          <w:tcPr>
            <w:tcW w:w="1624" w:type="dxa"/>
          </w:tcPr>
          <w:p w14:paraId="17BA5842" w14:textId="77777777" w:rsidR="00C43C66" w:rsidRDefault="00000000">
            <w:r>
              <w:t>Exp.</w:t>
            </w:r>
          </w:p>
        </w:tc>
        <w:tc>
          <w:tcPr>
            <w:tcW w:w="1624" w:type="dxa"/>
          </w:tcPr>
          <w:p w14:paraId="62D898E4" w14:textId="77777777" w:rsidR="00C43C66" w:rsidRDefault="00000000">
            <w:r>
              <w:t>461.2</w:t>
            </w:r>
          </w:p>
        </w:tc>
        <w:tc>
          <w:tcPr>
            <w:tcW w:w="1624" w:type="dxa"/>
          </w:tcPr>
          <w:p w14:paraId="2A6E5685" w14:textId="77777777" w:rsidR="00C43C66" w:rsidRDefault="00000000">
            <w:r>
              <w:t>442.8</w:t>
            </w:r>
          </w:p>
        </w:tc>
        <w:tc>
          <w:tcPr>
            <w:tcW w:w="1624" w:type="dxa"/>
          </w:tcPr>
          <w:p w14:paraId="65F9F12C" w14:textId="77777777" w:rsidR="00C43C66" w:rsidRDefault="00000000">
            <w:r>
              <w:t>4.15%</w:t>
            </w:r>
          </w:p>
        </w:tc>
        <w:tc>
          <w:tcPr>
            <w:tcW w:w="1624" w:type="dxa"/>
          </w:tcPr>
          <w:p w14:paraId="40A6226A" w14:textId="77777777" w:rsidR="00C43C66" w:rsidRDefault="00000000">
            <w:r>
              <w:t>2.80%</w:t>
            </w:r>
          </w:p>
        </w:tc>
      </w:tr>
      <w:tr w:rsidR="00C43C66" w14:paraId="77679805" w14:textId="77777777">
        <w:trPr>
          <w:jc w:val="center"/>
        </w:trPr>
        <w:tc>
          <w:tcPr>
            <w:tcW w:w="1624" w:type="dxa"/>
          </w:tcPr>
          <w:p w14:paraId="005EE19C" w14:textId="77777777" w:rsidR="00C43C66" w:rsidRDefault="00000000">
            <w:r>
              <w:t>COLOMBIA</w:t>
            </w:r>
          </w:p>
        </w:tc>
        <w:tc>
          <w:tcPr>
            <w:tcW w:w="1624" w:type="dxa"/>
          </w:tcPr>
          <w:p w14:paraId="5301DE09" w14:textId="77777777" w:rsidR="00C43C66" w:rsidRDefault="00000000">
            <w:r>
              <w:t>Imp.</w:t>
            </w:r>
          </w:p>
        </w:tc>
        <w:tc>
          <w:tcPr>
            <w:tcW w:w="1624" w:type="dxa"/>
          </w:tcPr>
          <w:p w14:paraId="09AFDA3D" w14:textId="77777777" w:rsidR="00C43C66" w:rsidRDefault="00000000">
            <w:r>
              <w:t>166.8</w:t>
            </w:r>
          </w:p>
        </w:tc>
        <w:tc>
          <w:tcPr>
            <w:tcW w:w="1624" w:type="dxa"/>
          </w:tcPr>
          <w:p w14:paraId="3A54054A" w14:textId="77777777" w:rsidR="00C43C66" w:rsidRDefault="00000000">
            <w:r>
              <w:t>188.0</w:t>
            </w:r>
          </w:p>
        </w:tc>
        <w:tc>
          <w:tcPr>
            <w:tcW w:w="1624" w:type="dxa"/>
          </w:tcPr>
          <w:p w14:paraId="445BCB63" w14:textId="77777777" w:rsidR="00C43C66" w:rsidRDefault="00000000">
            <w:r>
              <w:t>1.52%</w:t>
            </w:r>
          </w:p>
        </w:tc>
        <w:tc>
          <w:tcPr>
            <w:tcW w:w="1624" w:type="dxa"/>
          </w:tcPr>
          <w:p w14:paraId="10967733" w14:textId="77777777" w:rsidR="00C43C66" w:rsidRDefault="00000000">
            <w:r>
              <w:t>1.61%</w:t>
            </w:r>
          </w:p>
        </w:tc>
      </w:tr>
      <w:tr w:rsidR="00C43C66" w14:paraId="32D2CFFC" w14:textId="77777777">
        <w:trPr>
          <w:jc w:val="center"/>
        </w:trPr>
        <w:tc>
          <w:tcPr>
            <w:tcW w:w="1624" w:type="dxa"/>
          </w:tcPr>
          <w:p w14:paraId="5C3FF65E" w14:textId="77777777" w:rsidR="00C43C66" w:rsidRDefault="00000000">
            <w:r>
              <w:t>ECUADOR</w:t>
            </w:r>
          </w:p>
        </w:tc>
        <w:tc>
          <w:tcPr>
            <w:tcW w:w="1624" w:type="dxa"/>
          </w:tcPr>
          <w:p w14:paraId="1CDB6C69" w14:textId="77777777" w:rsidR="00C43C66" w:rsidRDefault="00000000">
            <w:r>
              <w:t>Exp.</w:t>
            </w:r>
          </w:p>
        </w:tc>
        <w:tc>
          <w:tcPr>
            <w:tcW w:w="1624" w:type="dxa"/>
          </w:tcPr>
          <w:p w14:paraId="28DAC014" w14:textId="77777777" w:rsidR="00C43C66" w:rsidRDefault="00000000">
            <w:r>
              <w:t>233.1</w:t>
            </w:r>
          </w:p>
        </w:tc>
        <w:tc>
          <w:tcPr>
            <w:tcW w:w="1624" w:type="dxa"/>
          </w:tcPr>
          <w:p w14:paraId="6B078120" w14:textId="77777777" w:rsidR="00C43C66" w:rsidRDefault="00000000">
            <w:r>
              <w:t>254.4</w:t>
            </w:r>
          </w:p>
        </w:tc>
        <w:tc>
          <w:tcPr>
            <w:tcW w:w="1624" w:type="dxa"/>
          </w:tcPr>
          <w:p w14:paraId="19F19BDE" w14:textId="77777777" w:rsidR="00C43C66" w:rsidRDefault="00000000">
            <w:r>
              <w:t>1.44%</w:t>
            </w:r>
          </w:p>
        </w:tc>
        <w:tc>
          <w:tcPr>
            <w:tcW w:w="1624" w:type="dxa"/>
          </w:tcPr>
          <w:p w14:paraId="64F55535" w14:textId="77777777" w:rsidR="00C43C66" w:rsidRDefault="00000000">
            <w:r>
              <w:t>1.46%</w:t>
            </w:r>
          </w:p>
        </w:tc>
      </w:tr>
      <w:tr w:rsidR="00C43C66" w14:paraId="61F491BE" w14:textId="77777777">
        <w:trPr>
          <w:jc w:val="center"/>
        </w:trPr>
        <w:tc>
          <w:tcPr>
            <w:tcW w:w="1624" w:type="dxa"/>
          </w:tcPr>
          <w:p w14:paraId="5C81C871" w14:textId="77777777" w:rsidR="00C43C66" w:rsidRDefault="00000000">
            <w:r>
              <w:t>ECUADOR</w:t>
            </w:r>
          </w:p>
        </w:tc>
        <w:tc>
          <w:tcPr>
            <w:tcW w:w="1624" w:type="dxa"/>
          </w:tcPr>
          <w:p w14:paraId="79F38558" w14:textId="77777777" w:rsidR="00C43C66" w:rsidRDefault="00000000">
            <w:r>
              <w:t>Imp.</w:t>
            </w:r>
          </w:p>
        </w:tc>
        <w:tc>
          <w:tcPr>
            <w:tcW w:w="1624" w:type="dxa"/>
          </w:tcPr>
          <w:p w14:paraId="0E4F6933" w14:textId="77777777" w:rsidR="00C43C66" w:rsidRDefault="00000000">
            <w:r>
              <w:t>577.9</w:t>
            </w:r>
          </w:p>
        </w:tc>
        <w:tc>
          <w:tcPr>
            <w:tcW w:w="1624" w:type="dxa"/>
          </w:tcPr>
          <w:p w14:paraId="1783701E" w14:textId="77777777" w:rsidR="00C43C66" w:rsidRDefault="00000000">
            <w:r>
              <w:t>485.0</w:t>
            </w:r>
          </w:p>
        </w:tc>
        <w:tc>
          <w:tcPr>
            <w:tcW w:w="1624" w:type="dxa"/>
          </w:tcPr>
          <w:p w14:paraId="2870F748" w14:textId="77777777" w:rsidR="00C43C66" w:rsidRDefault="00000000">
            <w:r>
              <w:t>7.64%</w:t>
            </w:r>
          </w:p>
        </w:tc>
        <w:tc>
          <w:tcPr>
            <w:tcW w:w="1624" w:type="dxa"/>
          </w:tcPr>
          <w:p w14:paraId="10CB4A78" w14:textId="77777777" w:rsidR="00C43C66" w:rsidRDefault="00000000">
            <w:r>
              <w:t>5.97%</w:t>
            </w:r>
          </w:p>
        </w:tc>
      </w:tr>
    </w:tbl>
    <w:p w14:paraId="7E88100B" w14:textId="77777777" w:rsidR="00C43C66" w:rsidRDefault="00000000">
      <w:r>
        <w:t>En importaciones, Ecuador registra el mayor nivel de exposición agregada del análisis. El valor bilateral con Colombia pasa de USD 577,852,095.78 en el primer periodo a USD 485,040,734.79 en el segundo, mientras su participación sobre el total importado cae de 7.64% a 5.97%. Esto indica una reducción de la dependencia agregada, aunque el vínculo sigue siendo material.</w:t>
      </w:r>
    </w:p>
    <w:p w14:paraId="44DC7706" w14:textId="77777777" w:rsidR="00C43C66" w:rsidRDefault="00000000">
      <w:r>
        <w:t>En exportaciones, Ecuador aumenta su valor bilateral hacia Colombia de USD 233,141,924.68 a USD 254,443,496.59; sin embargo, la participación del socio sobre el total exportado apenas varía, al pasar de 1.44% a 1.46%. La lectura correcta es que existe crecimiento bilateral, pero no un cambio estructural fuerte en el peso de Colombia dentro del total exportado.</w:t>
      </w:r>
    </w:p>
    <w:p w14:paraId="58CEF2ED" w14:textId="77777777" w:rsidR="00C43C66" w:rsidRDefault="00000000">
      <w:r>
        <w:t>En importaciones, Colombia muestra una dependencia limitada frente a Ecuador. El valor bilateral aumenta de USD 166,766,168.73 a USD 187,991,703.48, y la participación pasa de 1.52% a 1.61%. La exposición existe, pero es comparativamente baja a escala agregada.</w:t>
      </w:r>
    </w:p>
    <w:p w14:paraId="164A4E75" w14:textId="77777777" w:rsidR="00C43C66" w:rsidRDefault="00000000">
      <w:r>
        <w:t>En exportaciones, Colombia reduce la importancia relativa de Ecuador como mercado de destino. El valor bilateral baja de USD 461,187,961.87 a USD 442,832,052.27, y la participación sobre el total exportado cae de 4.15% a 2.80%.</w:t>
      </w:r>
    </w:p>
    <w:p w14:paraId="3BB0A89C" w14:textId="77777777" w:rsidR="00C43C66" w:rsidRDefault="00000000">
      <w:pPr>
        <w:pStyle w:val="Ttulo1"/>
      </w:pPr>
      <w:r>
        <w:t>5. Hallazgos por flujo comercial</w:t>
      </w:r>
    </w:p>
    <w:p w14:paraId="034134CE" w14:textId="77777777" w:rsidR="00C43C66" w:rsidRDefault="00000000">
      <w:pPr>
        <w:pStyle w:val="Ttulo2"/>
      </w:pPr>
      <w:r>
        <w:t>5.1 Ecuador: importaciones desde Colombia</w:t>
      </w:r>
    </w:p>
    <w:p w14:paraId="779364ED" w14:textId="77777777" w:rsidR="00C43C66" w:rsidRDefault="00000000">
      <w:r>
        <w:t>Este es el flujo de mayor sensibilidad para un escenario de ruptura. Conviene distinguir entre capítulos con alta dependencia bilateral y capítulos con alto valor comprometido, porque ambos no siempre coinciden.</w:t>
      </w:r>
    </w:p>
    <w:p w14:paraId="6C93CABD" w14:textId="77777777" w:rsidR="00C43C66" w:rsidRDefault="00000000">
      <w:pPr>
        <w:pStyle w:val="Citadestacada"/>
      </w:pPr>
      <w:r>
        <w:t>Capítulos con mayor dependencia bilateral en el segundo periodo:</w:t>
      </w:r>
    </w:p>
    <w:tbl>
      <w:tblPr>
        <w:tblStyle w:val="Tablaconcuadrcula"/>
        <w:tblW w:w="0" w:type="auto"/>
        <w:tblLook w:val="04A0" w:firstRow="1" w:lastRow="0" w:firstColumn="1" w:lastColumn="0" w:noHBand="0" w:noVBand="1"/>
      </w:tblPr>
      <w:tblGrid>
        <w:gridCol w:w="2436"/>
        <w:gridCol w:w="2436"/>
        <w:gridCol w:w="2436"/>
        <w:gridCol w:w="2436"/>
      </w:tblGrid>
      <w:tr w:rsidR="00C43C66" w14:paraId="413249F8" w14:textId="77777777">
        <w:tc>
          <w:tcPr>
            <w:tcW w:w="2436" w:type="dxa"/>
          </w:tcPr>
          <w:p w14:paraId="7CD5A221" w14:textId="77777777" w:rsidR="00C43C66" w:rsidRDefault="00000000">
            <w:r>
              <w:t>Capítulo</w:t>
            </w:r>
          </w:p>
        </w:tc>
        <w:tc>
          <w:tcPr>
            <w:tcW w:w="2436" w:type="dxa"/>
          </w:tcPr>
          <w:p w14:paraId="2AB9B45D" w14:textId="77777777" w:rsidR="00C43C66" w:rsidRDefault="00000000">
            <w:r>
              <w:t>Descripción</w:t>
            </w:r>
          </w:p>
        </w:tc>
        <w:tc>
          <w:tcPr>
            <w:tcW w:w="2436" w:type="dxa"/>
          </w:tcPr>
          <w:p w14:paraId="31492EAD" w14:textId="77777777" w:rsidR="00C43C66" w:rsidRDefault="00000000">
            <w:r>
              <w:t>USD bilateral P2</w:t>
            </w:r>
          </w:p>
        </w:tc>
        <w:tc>
          <w:tcPr>
            <w:tcW w:w="2436" w:type="dxa"/>
          </w:tcPr>
          <w:p w14:paraId="5F9062FC" w14:textId="77777777" w:rsidR="00C43C66" w:rsidRDefault="00000000">
            <w:r>
              <w:t>% bilateral P2</w:t>
            </w:r>
          </w:p>
        </w:tc>
      </w:tr>
      <w:tr w:rsidR="00C43C66" w14:paraId="04E0C075" w14:textId="77777777">
        <w:tc>
          <w:tcPr>
            <w:tcW w:w="2436" w:type="dxa"/>
          </w:tcPr>
          <w:p w14:paraId="414C8290" w14:textId="77777777" w:rsidR="00C43C66" w:rsidRDefault="00000000">
            <w:r>
              <w:t>01</w:t>
            </w:r>
          </w:p>
        </w:tc>
        <w:tc>
          <w:tcPr>
            <w:tcW w:w="2436" w:type="dxa"/>
          </w:tcPr>
          <w:p w14:paraId="2F39B57D" w14:textId="77777777" w:rsidR="00C43C66" w:rsidRDefault="00000000">
            <w:r>
              <w:t>Animales vivos</w:t>
            </w:r>
          </w:p>
        </w:tc>
        <w:tc>
          <w:tcPr>
            <w:tcW w:w="2436" w:type="dxa"/>
          </w:tcPr>
          <w:p w14:paraId="53F45AD2" w14:textId="77777777" w:rsidR="00C43C66" w:rsidRDefault="00000000">
            <w:r>
              <w:t>USD 4,083,078.18</w:t>
            </w:r>
          </w:p>
        </w:tc>
        <w:tc>
          <w:tcPr>
            <w:tcW w:w="2436" w:type="dxa"/>
          </w:tcPr>
          <w:p w14:paraId="604CFF08" w14:textId="77777777" w:rsidR="00C43C66" w:rsidRDefault="00000000">
            <w:r>
              <w:t>54.07%</w:t>
            </w:r>
          </w:p>
        </w:tc>
      </w:tr>
      <w:tr w:rsidR="00C43C66" w14:paraId="665814D5" w14:textId="77777777">
        <w:tc>
          <w:tcPr>
            <w:tcW w:w="2436" w:type="dxa"/>
          </w:tcPr>
          <w:p w14:paraId="3D440738" w14:textId="77777777" w:rsidR="00C43C66" w:rsidRDefault="00000000">
            <w:r>
              <w:t>17</w:t>
            </w:r>
          </w:p>
        </w:tc>
        <w:tc>
          <w:tcPr>
            <w:tcW w:w="2436" w:type="dxa"/>
          </w:tcPr>
          <w:p w14:paraId="75D5CA74" w14:textId="77777777" w:rsidR="00C43C66" w:rsidRDefault="00000000">
            <w:r>
              <w:t>Azúcares y artículos de confitería</w:t>
            </w:r>
          </w:p>
        </w:tc>
        <w:tc>
          <w:tcPr>
            <w:tcW w:w="2436" w:type="dxa"/>
          </w:tcPr>
          <w:p w14:paraId="25C4BF8D" w14:textId="77777777" w:rsidR="00C43C66" w:rsidRDefault="00000000">
            <w:r>
              <w:t>USD 15,970,261.52</w:t>
            </w:r>
          </w:p>
        </w:tc>
        <w:tc>
          <w:tcPr>
            <w:tcW w:w="2436" w:type="dxa"/>
          </w:tcPr>
          <w:p w14:paraId="07F53DFF" w14:textId="77777777" w:rsidR="00C43C66" w:rsidRDefault="00000000">
            <w:r>
              <w:t>53.86%</w:t>
            </w:r>
          </w:p>
        </w:tc>
      </w:tr>
      <w:tr w:rsidR="00C43C66" w14:paraId="26D7D593" w14:textId="77777777">
        <w:tc>
          <w:tcPr>
            <w:tcW w:w="2436" w:type="dxa"/>
          </w:tcPr>
          <w:p w14:paraId="5C242E3B" w14:textId="77777777" w:rsidR="00C43C66" w:rsidRDefault="00000000">
            <w:r>
              <w:t>33</w:t>
            </w:r>
          </w:p>
        </w:tc>
        <w:tc>
          <w:tcPr>
            <w:tcW w:w="2436" w:type="dxa"/>
          </w:tcPr>
          <w:p w14:paraId="730E7B20" w14:textId="77777777" w:rsidR="00C43C66" w:rsidRDefault="00000000">
            <w:r>
              <w:t>Aceites esenciales y resinoides; perfumería, cosmética y tocador</w:t>
            </w:r>
          </w:p>
        </w:tc>
        <w:tc>
          <w:tcPr>
            <w:tcW w:w="2436" w:type="dxa"/>
          </w:tcPr>
          <w:p w14:paraId="0D9677D5" w14:textId="77777777" w:rsidR="00C43C66" w:rsidRDefault="00000000">
            <w:r>
              <w:t>USD 59,585,681.65</w:t>
            </w:r>
          </w:p>
        </w:tc>
        <w:tc>
          <w:tcPr>
            <w:tcW w:w="2436" w:type="dxa"/>
          </w:tcPr>
          <w:p w14:paraId="607FEDEF" w14:textId="77777777" w:rsidR="00C43C66" w:rsidRDefault="00000000">
            <w:r>
              <w:t>41.62%</w:t>
            </w:r>
          </w:p>
        </w:tc>
      </w:tr>
      <w:tr w:rsidR="00C43C66" w14:paraId="05D1682E" w14:textId="77777777">
        <w:tc>
          <w:tcPr>
            <w:tcW w:w="2436" w:type="dxa"/>
          </w:tcPr>
          <w:p w14:paraId="41292385" w14:textId="77777777" w:rsidR="00C43C66" w:rsidRDefault="00000000">
            <w:r>
              <w:t>60</w:t>
            </w:r>
          </w:p>
        </w:tc>
        <w:tc>
          <w:tcPr>
            <w:tcW w:w="2436" w:type="dxa"/>
          </w:tcPr>
          <w:p w14:paraId="62448B38" w14:textId="77777777" w:rsidR="00C43C66" w:rsidRDefault="00000000">
            <w:r>
              <w:t>Tejidos de punto</w:t>
            </w:r>
          </w:p>
        </w:tc>
        <w:tc>
          <w:tcPr>
            <w:tcW w:w="2436" w:type="dxa"/>
          </w:tcPr>
          <w:p w14:paraId="7A9DBE61" w14:textId="77777777" w:rsidR="00C43C66" w:rsidRDefault="00000000">
            <w:r>
              <w:t>USD 9,591,214.84</w:t>
            </w:r>
          </w:p>
        </w:tc>
        <w:tc>
          <w:tcPr>
            <w:tcW w:w="2436" w:type="dxa"/>
          </w:tcPr>
          <w:p w14:paraId="109D83AE" w14:textId="77777777" w:rsidR="00C43C66" w:rsidRDefault="00000000">
            <w:r>
              <w:t>37.58%</w:t>
            </w:r>
          </w:p>
        </w:tc>
      </w:tr>
      <w:tr w:rsidR="00C43C66" w14:paraId="768987D7" w14:textId="77777777">
        <w:tc>
          <w:tcPr>
            <w:tcW w:w="2436" w:type="dxa"/>
          </w:tcPr>
          <w:p w14:paraId="4D966881" w14:textId="77777777" w:rsidR="00C43C66" w:rsidRDefault="00000000">
            <w:r>
              <w:t>34</w:t>
            </w:r>
          </w:p>
        </w:tc>
        <w:tc>
          <w:tcPr>
            <w:tcW w:w="2436" w:type="dxa"/>
          </w:tcPr>
          <w:p w14:paraId="1E33F4C2" w14:textId="77777777" w:rsidR="00C43C66" w:rsidRDefault="00000000">
            <w:r>
              <w:t>Jabón, agentes de superficie orgánicos, preparaciones para lavar, ceras artificiales</w:t>
            </w:r>
          </w:p>
        </w:tc>
        <w:tc>
          <w:tcPr>
            <w:tcW w:w="2436" w:type="dxa"/>
          </w:tcPr>
          <w:p w14:paraId="4A416C6D" w14:textId="77777777" w:rsidR="00C43C66" w:rsidRDefault="00000000">
            <w:r>
              <w:t>USD 18,966,534.39</w:t>
            </w:r>
          </w:p>
        </w:tc>
        <w:tc>
          <w:tcPr>
            <w:tcW w:w="2436" w:type="dxa"/>
          </w:tcPr>
          <w:p w14:paraId="4AE9630B" w14:textId="77777777" w:rsidR="00C43C66" w:rsidRDefault="00000000">
            <w:r>
              <w:t>36.55%</w:t>
            </w:r>
          </w:p>
        </w:tc>
      </w:tr>
      <w:tr w:rsidR="00C43C66" w14:paraId="5F51C529" w14:textId="77777777">
        <w:tc>
          <w:tcPr>
            <w:tcW w:w="2436" w:type="dxa"/>
          </w:tcPr>
          <w:p w14:paraId="152D440F" w14:textId="77777777" w:rsidR="00C43C66" w:rsidRDefault="00000000">
            <w:r>
              <w:t>71</w:t>
            </w:r>
          </w:p>
        </w:tc>
        <w:tc>
          <w:tcPr>
            <w:tcW w:w="2436" w:type="dxa"/>
          </w:tcPr>
          <w:p w14:paraId="0498BE28" w14:textId="77777777" w:rsidR="00C43C66" w:rsidRDefault="00000000">
            <w:r>
              <w:t xml:space="preserve">Perlas finas o </w:t>
            </w:r>
            <w:r>
              <w:lastRenderedPageBreak/>
              <w:t>cultivadas, piedras preciosas, metales preciosos y sus manufacturas</w:t>
            </w:r>
          </w:p>
        </w:tc>
        <w:tc>
          <w:tcPr>
            <w:tcW w:w="2436" w:type="dxa"/>
          </w:tcPr>
          <w:p w14:paraId="72C3BBAD" w14:textId="77777777" w:rsidR="00C43C66" w:rsidRDefault="00000000">
            <w:r>
              <w:lastRenderedPageBreak/>
              <w:t>USD 1,881,734.63</w:t>
            </w:r>
          </w:p>
        </w:tc>
        <w:tc>
          <w:tcPr>
            <w:tcW w:w="2436" w:type="dxa"/>
          </w:tcPr>
          <w:p w14:paraId="5A03D00F" w14:textId="77777777" w:rsidR="00C43C66" w:rsidRDefault="00000000">
            <w:r>
              <w:t>31.37%</w:t>
            </w:r>
          </w:p>
        </w:tc>
      </w:tr>
      <w:tr w:rsidR="00C43C66" w14:paraId="232D3FB6" w14:textId="77777777">
        <w:tc>
          <w:tcPr>
            <w:tcW w:w="2436" w:type="dxa"/>
          </w:tcPr>
          <w:p w14:paraId="5F059D72" w14:textId="77777777" w:rsidR="00C43C66" w:rsidRDefault="00000000">
            <w:r>
              <w:t>65</w:t>
            </w:r>
          </w:p>
        </w:tc>
        <w:tc>
          <w:tcPr>
            <w:tcW w:w="2436" w:type="dxa"/>
          </w:tcPr>
          <w:p w14:paraId="7575F94D" w14:textId="77777777" w:rsidR="00C43C66" w:rsidRDefault="00000000">
            <w:r>
              <w:t>Sombreros y demás tocados</w:t>
            </w:r>
          </w:p>
        </w:tc>
        <w:tc>
          <w:tcPr>
            <w:tcW w:w="2436" w:type="dxa"/>
          </w:tcPr>
          <w:p w14:paraId="49E9E579" w14:textId="77777777" w:rsidR="00C43C66" w:rsidRDefault="00000000">
            <w:r>
              <w:t>USD 1,836,543.30</w:t>
            </w:r>
          </w:p>
        </w:tc>
        <w:tc>
          <w:tcPr>
            <w:tcW w:w="2436" w:type="dxa"/>
          </w:tcPr>
          <w:p w14:paraId="2D153F61" w14:textId="77777777" w:rsidR="00C43C66" w:rsidRDefault="00000000">
            <w:r>
              <w:t>28.75%</w:t>
            </w:r>
          </w:p>
        </w:tc>
      </w:tr>
      <w:tr w:rsidR="00C43C66" w14:paraId="59632E6B" w14:textId="77777777">
        <w:tc>
          <w:tcPr>
            <w:tcW w:w="2436" w:type="dxa"/>
          </w:tcPr>
          <w:p w14:paraId="19F1E9EF" w14:textId="77777777" w:rsidR="00C43C66" w:rsidRDefault="00000000">
            <w:r>
              <w:t>22</w:t>
            </w:r>
          </w:p>
        </w:tc>
        <w:tc>
          <w:tcPr>
            <w:tcW w:w="2436" w:type="dxa"/>
          </w:tcPr>
          <w:p w14:paraId="70A82DDE" w14:textId="77777777" w:rsidR="00C43C66" w:rsidRDefault="00000000">
            <w:r>
              <w:t>Bebidas, líquidos alcohólicos y vinagre</w:t>
            </w:r>
          </w:p>
        </w:tc>
        <w:tc>
          <w:tcPr>
            <w:tcW w:w="2436" w:type="dxa"/>
          </w:tcPr>
          <w:p w14:paraId="7EF498C1" w14:textId="77777777" w:rsidR="00C43C66" w:rsidRDefault="00000000">
            <w:r>
              <w:t>USD 9,434,000.27</w:t>
            </w:r>
          </w:p>
        </w:tc>
        <w:tc>
          <w:tcPr>
            <w:tcW w:w="2436" w:type="dxa"/>
          </w:tcPr>
          <w:p w14:paraId="08950EBD" w14:textId="77777777" w:rsidR="00C43C66" w:rsidRDefault="00000000">
            <w:r>
              <w:t>28.66%</w:t>
            </w:r>
          </w:p>
        </w:tc>
      </w:tr>
    </w:tbl>
    <w:p w14:paraId="4CF89CD5" w14:textId="77777777" w:rsidR="00C43C66" w:rsidRDefault="00000000">
      <w:pPr>
        <w:pStyle w:val="Citadestacada"/>
      </w:pPr>
      <w:r>
        <w:t>Capítulos con mayor valor bilateral en el segundo periodo:</w:t>
      </w:r>
    </w:p>
    <w:tbl>
      <w:tblPr>
        <w:tblStyle w:val="Tablaconcuadrcula"/>
        <w:tblW w:w="0" w:type="auto"/>
        <w:tblLook w:val="04A0" w:firstRow="1" w:lastRow="0" w:firstColumn="1" w:lastColumn="0" w:noHBand="0" w:noVBand="1"/>
      </w:tblPr>
      <w:tblGrid>
        <w:gridCol w:w="2436"/>
        <w:gridCol w:w="2436"/>
        <w:gridCol w:w="2436"/>
        <w:gridCol w:w="2436"/>
      </w:tblGrid>
      <w:tr w:rsidR="00C43C66" w14:paraId="3F563D39" w14:textId="77777777">
        <w:tc>
          <w:tcPr>
            <w:tcW w:w="2436" w:type="dxa"/>
          </w:tcPr>
          <w:p w14:paraId="78A568AC" w14:textId="77777777" w:rsidR="00C43C66" w:rsidRDefault="00000000">
            <w:r>
              <w:t>Capítulo</w:t>
            </w:r>
          </w:p>
        </w:tc>
        <w:tc>
          <w:tcPr>
            <w:tcW w:w="2436" w:type="dxa"/>
          </w:tcPr>
          <w:p w14:paraId="7CAD91C1" w14:textId="77777777" w:rsidR="00C43C66" w:rsidRDefault="00000000">
            <w:r>
              <w:t>Descripción</w:t>
            </w:r>
          </w:p>
        </w:tc>
        <w:tc>
          <w:tcPr>
            <w:tcW w:w="2436" w:type="dxa"/>
          </w:tcPr>
          <w:p w14:paraId="29BDA24F" w14:textId="77777777" w:rsidR="00C43C66" w:rsidRDefault="00000000">
            <w:r>
              <w:t>USD bilateral P2</w:t>
            </w:r>
          </w:p>
        </w:tc>
        <w:tc>
          <w:tcPr>
            <w:tcW w:w="2436" w:type="dxa"/>
          </w:tcPr>
          <w:p w14:paraId="6B087AA7" w14:textId="77777777" w:rsidR="00C43C66" w:rsidRDefault="00000000">
            <w:r>
              <w:t>% bilateral P2</w:t>
            </w:r>
          </w:p>
        </w:tc>
      </w:tr>
      <w:tr w:rsidR="00C43C66" w14:paraId="21FD3DB8" w14:textId="77777777">
        <w:tc>
          <w:tcPr>
            <w:tcW w:w="2436" w:type="dxa"/>
          </w:tcPr>
          <w:p w14:paraId="6A77848D" w14:textId="77777777" w:rsidR="00C43C66" w:rsidRDefault="00000000">
            <w:r>
              <w:t>33</w:t>
            </w:r>
          </w:p>
        </w:tc>
        <w:tc>
          <w:tcPr>
            <w:tcW w:w="2436" w:type="dxa"/>
          </w:tcPr>
          <w:p w14:paraId="0625150E" w14:textId="77777777" w:rsidR="00C43C66" w:rsidRDefault="00000000">
            <w:r>
              <w:t>Aceites esenciales y resinoides; perfumería, cosmética y tocador</w:t>
            </w:r>
          </w:p>
        </w:tc>
        <w:tc>
          <w:tcPr>
            <w:tcW w:w="2436" w:type="dxa"/>
          </w:tcPr>
          <w:p w14:paraId="57A568EA" w14:textId="77777777" w:rsidR="00C43C66" w:rsidRDefault="00000000">
            <w:r>
              <w:t>USD 59,585,681.65</w:t>
            </w:r>
          </w:p>
        </w:tc>
        <w:tc>
          <w:tcPr>
            <w:tcW w:w="2436" w:type="dxa"/>
          </w:tcPr>
          <w:p w14:paraId="7FB6C700" w14:textId="77777777" w:rsidR="00C43C66" w:rsidRDefault="00000000">
            <w:r>
              <w:t>41.62%</w:t>
            </w:r>
          </w:p>
        </w:tc>
      </w:tr>
      <w:tr w:rsidR="00C43C66" w14:paraId="4826905B" w14:textId="77777777">
        <w:tc>
          <w:tcPr>
            <w:tcW w:w="2436" w:type="dxa"/>
          </w:tcPr>
          <w:p w14:paraId="0B3572EB" w14:textId="77777777" w:rsidR="00C43C66" w:rsidRDefault="00000000">
            <w:r>
              <w:t>87</w:t>
            </w:r>
          </w:p>
        </w:tc>
        <w:tc>
          <w:tcPr>
            <w:tcW w:w="2436" w:type="dxa"/>
          </w:tcPr>
          <w:p w14:paraId="1C866841" w14:textId="77777777" w:rsidR="00C43C66" w:rsidRDefault="00000000">
            <w:r>
              <w:t>Vehículos automóviles, tractores, velocípedos y demás vehículos terrestres</w:t>
            </w:r>
          </w:p>
        </w:tc>
        <w:tc>
          <w:tcPr>
            <w:tcW w:w="2436" w:type="dxa"/>
          </w:tcPr>
          <w:p w14:paraId="6B5A5902" w14:textId="77777777" w:rsidR="00C43C66" w:rsidRDefault="00000000">
            <w:r>
              <w:t>USD 35,997,662.34</w:t>
            </w:r>
          </w:p>
        </w:tc>
        <w:tc>
          <w:tcPr>
            <w:tcW w:w="2436" w:type="dxa"/>
          </w:tcPr>
          <w:p w14:paraId="041581F0" w14:textId="77777777" w:rsidR="00C43C66" w:rsidRDefault="00000000">
            <w:r>
              <w:t>4.06%</w:t>
            </w:r>
          </w:p>
        </w:tc>
      </w:tr>
      <w:tr w:rsidR="00C43C66" w14:paraId="228AB689" w14:textId="77777777">
        <w:tc>
          <w:tcPr>
            <w:tcW w:w="2436" w:type="dxa"/>
          </w:tcPr>
          <w:p w14:paraId="0A7CC76E" w14:textId="77777777" w:rsidR="00C43C66" w:rsidRDefault="00000000">
            <w:r>
              <w:t>30</w:t>
            </w:r>
          </w:p>
        </w:tc>
        <w:tc>
          <w:tcPr>
            <w:tcW w:w="2436" w:type="dxa"/>
          </w:tcPr>
          <w:p w14:paraId="6FFB8EAA" w14:textId="77777777" w:rsidR="00C43C66" w:rsidRDefault="00000000">
            <w:r>
              <w:t>Productos farmacéuticos</w:t>
            </w:r>
          </w:p>
        </w:tc>
        <w:tc>
          <w:tcPr>
            <w:tcW w:w="2436" w:type="dxa"/>
          </w:tcPr>
          <w:p w14:paraId="209D0972" w14:textId="77777777" w:rsidR="00C43C66" w:rsidRDefault="00000000">
            <w:r>
              <w:t>USD 33,471,495.15</w:t>
            </w:r>
          </w:p>
        </w:tc>
        <w:tc>
          <w:tcPr>
            <w:tcW w:w="2436" w:type="dxa"/>
          </w:tcPr>
          <w:p w14:paraId="43800D4A" w14:textId="77777777" w:rsidR="00C43C66" w:rsidRDefault="00000000">
            <w:r>
              <w:t>10.08%</w:t>
            </w:r>
          </w:p>
        </w:tc>
      </w:tr>
      <w:tr w:rsidR="00C43C66" w14:paraId="5D6BA246" w14:textId="77777777">
        <w:tc>
          <w:tcPr>
            <w:tcW w:w="2436" w:type="dxa"/>
          </w:tcPr>
          <w:p w14:paraId="3E8979C4" w14:textId="77777777" w:rsidR="00C43C66" w:rsidRDefault="00000000">
            <w:r>
              <w:t>38</w:t>
            </w:r>
          </w:p>
        </w:tc>
        <w:tc>
          <w:tcPr>
            <w:tcW w:w="2436" w:type="dxa"/>
          </w:tcPr>
          <w:p w14:paraId="3B111F6F" w14:textId="77777777" w:rsidR="00C43C66" w:rsidRDefault="00000000">
            <w:r>
              <w:t>Productos diversos de las industrias químicas</w:t>
            </w:r>
          </w:p>
        </w:tc>
        <w:tc>
          <w:tcPr>
            <w:tcW w:w="2436" w:type="dxa"/>
          </w:tcPr>
          <w:p w14:paraId="1AEFA6E4" w14:textId="77777777" w:rsidR="00C43C66" w:rsidRDefault="00000000">
            <w:r>
              <w:t>USD 32,713,345.88</w:t>
            </w:r>
          </w:p>
        </w:tc>
        <w:tc>
          <w:tcPr>
            <w:tcW w:w="2436" w:type="dxa"/>
          </w:tcPr>
          <w:p w14:paraId="76E229D4" w14:textId="77777777" w:rsidR="00C43C66" w:rsidRDefault="00000000">
            <w:r>
              <w:t>16.75%</w:t>
            </w:r>
          </w:p>
        </w:tc>
      </w:tr>
      <w:tr w:rsidR="00C43C66" w14:paraId="6162CE22" w14:textId="77777777">
        <w:tc>
          <w:tcPr>
            <w:tcW w:w="2436" w:type="dxa"/>
          </w:tcPr>
          <w:p w14:paraId="053D45CE" w14:textId="77777777" w:rsidR="00C43C66" w:rsidRDefault="00000000">
            <w:r>
              <w:t>39</w:t>
            </w:r>
          </w:p>
        </w:tc>
        <w:tc>
          <w:tcPr>
            <w:tcW w:w="2436" w:type="dxa"/>
          </w:tcPr>
          <w:p w14:paraId="1AAB924E" w14:textId="77777777" w:rsidR="00C43C66" w:rsidRDefault="00000000">
            <w:r>
              <w:t>Plásticos y sus manufacturas</w:t>
            </w:r>
          </w:p>
        </w:tc>
        <w:tc>
          <w:tcPr>
            <w:tcW w:w="2436" w:type="dxa"/>
          </w:tcPr>
          <w:p w14:paraId="43188317" w14:textId="77777777" w:rsidR="00C43C66" w:rsidRDefault="00000000">
            <w:r>
              <w:t>USD 31,925,022.22</w:t>
            </w:r>
          </w:p>
        </w:tc>
        <w:tc>
          <w:tcPr>
            <w:tcW w:w="2436" w:type="dxa"/>
          </w:tcPr>
          <w:p w14:paraId="1E69F182" w14:textId="77777777" w:rsidR="00C43C66" w:rsidRDefault="00000000">
            <w:r>
              <w:t>9.71%</w:t>
            </w:r>
          </w:p>
        </w:tc>
      </w:tr>
      <w:tr w:rsidR="00C43C66" w14:paraId="623835A1" w14:textId="77777777">
        <w:tc>
          <w:tcPr>
            <w:tcW w:w="2436" w:type="dxa"/>
          </w:tcPr>
          <w:p w14:paraId="268ADA40" w14:textId="77777777" w:rsidR="00C43C66" w:rsidRDefault="00000000">
            <w:r>
              <w:t>27</w:t>
            </w:r>
          </w:p>
        </w:tc>
        <w:tc>
          <w:tcPr>
            <w:tcW w:w="2436" w:type="dxa"/>
          </w:tcPr>
          <w:p w14:paraId="37E3924E" w14:textId="77777777" w:rsidR="00C43C66" w:rsidRDefault="00000000">
            <w:r>
              <w:t>Combustibles minerales, aceites minerales y productos de su destilación</w:t>
            </w:r>
          </w:p>
        </w:tc>
        <w:tc>
          <w:tcPr>
            <w:tcW w:w="2436" w:type="dxa"/>
          </w:tcPr>
          <w:p w14:paraId="307097FF" w14:textId="77777777" w:rsidR="00C43C66" w:rsidRDefault="00000000">
            <w:r>
              <w:t>USD 27,116,908.45</w:t>
            </w:r>
          </w:p>
        </w:tc>
        <w:tc>
          <w:tcPr>
            <w:tcW w:w="2436" w:type="dxa"/>
          </w:tcPr>
          <w:p w14:paraId="6A83ED6C" w14:textId="77777777" w:rsidR="00C43C66" w:rsidRDefault="00000000">
            <w:r>
              <w:t>1.70%</w:t>
            </w:r>
          </w:p>
        </w:tc>
      </w:tr>
      <w:tr w:rsidR="00C43C66" w14:paraId="5085AB2D" w14:textId="77777777">
        <w:tc>
          <w:tcPr>
            <w:tcW w:w="2436" w:type="dxa"/>
          </w:tcPr>
          <w:p w14:paraId="216E42D3" w14:textId="77777777" w:rsidR="00C43C66" w:rsidRDefault="00000000">
            <w:r>
              <w:t>85</w:t>
            </w:r>
          </w:p>
        </w:tc>
        <w:tc>
          <w:tcPr>
            <w:tcW w:w="2436" w:type="dxa"/>
          </w:tcPr>
          <w:p w14:paraId="1E064A42" w14:textId="77777777" w:rsidR="00C43C66" w:rsidRDefault="00000000">
            <w:r>
              <w:t>Máquinas, aparatos y material eléctrico; sus partes</w:t>
            </w:r>
          </w:p>
        </w:tc>
        <w:tc>
          <w:tcPr>
            <w:tcW w:w="2436" w:type="dxa"/>
          </w:tcPr>
          <w:p w14:paraId="725B82E4" w14:textId="77777777" w:rsidR="00C43C66" w:rsidRDefault="00000000">
            <w:r>
              <w:t>USD 25,693,751.39</w:t>
            </w:r>
          </w:p>
        </w:tc>
        <w:tc>
          <w:tcPr>
            <w:tcW w:w="2436" w:type="dxa"/>
          </w:tcPr>
          <w:p w14:paraId="3BB95885" w14:textId="77777777" w:rsidR="00C43C66" w:rsidRDefault="00000000">
            <w:r>
              <w:t>4.01%</w:t>
            </w:r>
          </w:p>
        </w:tc>
      </w:tr>
      <w:tr w:rsidR="00C43C66" w14:paraId="35A30C3C" w14:textId="77777777">
        <w:tc>
          <w:tcPr>
            <w:tcW w:w="2436" w:type="dxa"/>
          </w:tcPr>
          <w:p w14:paraId="3304B46A" w14:textId="77777777" w:rsidR="00C43C66" w:rsidRDefault="00000000">
            <w:r>
              <w:t>84</w:t>
            </w:r>
          </w:p>
        </w:tc>
        <w:tc>
          <w:tcPr>
            <w:tcW w:w="2436" w:type="dxa"/>
          </w:tcPr>
          <w:p w14:paraId="568A22E5" w14:textId="77777777" w:rsidR="00C43C66" w:rsidRDefault="00000000">
            <w:r>
              <w:t>Reactores nucleares, calderas, máquinas, aparatos y artefactos mecánicos</w:t>
            </w:r>
          </w:p>
        </w:tc>
        <w:tc>
          <w:tcPr>
            <w:tcW w:w="2436" w:type="dxa"/>
          </w:tcPr>
          <w:p w14:paraId="0C69839C" w14:textId="77777777" w:rsidR="00C43C66" w:rsidRDefault="00000000">
            <w:r>
              <w:t>USD 19,972,192.03</w:t>
            </w:r>
          </w:p>
        </w:tc>
        <w:tc>
          <w:tcPr>
            <w:tcW w:w="2436" w:type="dxa"/>
          </w:tcPr>
          <w:p w14:paraId="46EAB809" w14:textId="77777777" w:rsidR="00C43C66" w:rsidRDefault="00000000">
            <w:r>
              <w:t>2.13%</w:t>
            </w:r>
          </w:p>
        </w:tc>
      </w:tr>
    </w:tbl>
    <w:p w14:paraId="4B1920E7" w14:textId="77777777" w:rsidR="00C43C66" w:rsidRDefault="00000000">
      <w:pPr>
        <w:pStyle w:val="Ttulo2"/>
      </w:pPr>
      <w:r>
        <w:t>5.2 Ecuador: exportaciones hacia Colombia</w:t>
      </w:r>
    </w:p>
    <w:p w14:paraId="1E102638" w14:textId="77777777" w:rsidR="00C43C66" w:rsidRDefault="00000000">
      <w:r>
        <w:t>La exposición agregada de Ecuador como exportador hacia Colombia es acotada, pero hay nichos sectoriales con alta concentración del mercado colombiano.</w:t>
      </w:r>
    </w:p>
    <w:p w14:paraId="6C970630" w14:textId="77777777" w:rsidR="00C43C66" w:rsidRDefault="00000000">
      <w:pPr>
        <w:pStyle w:val="Citadestacada"/>
      </w:pPr>
      <w:r>
        <w:t>Capítulos con mayor dependencia bilateral en el segundo periodo:</w:t>
      </w:r>
    </w:p>
    <w:tbl>
      <w:tblPr>
        <w:tblStyle w:val="Tablaconcuadrcula"/>
        <w:tblW w:w="0" w:type="auto"/>
        <w:tblLook w:val="04A0" w:firstRow="1" w:lastRow="0" w:firstColumn="1" w:lastColumn="0" w:noHBand="0" w:noVBand="1"/>
      </w:tblPr>
      <w:tblGrid>
        <w:gridCol w:w="2436"/>
        <w:gridCol w:w="2436"/>
        <w:gridCol w:w="2436"/>
        <w:gridCol w:w="2436"/>
      </w:tblGrid>
      <w:tr w:rsidR="00C43C66" w14:paraId="5E00E24C" w14:textId="77777777">
        <w:tc>
          <w:tcPr>
            <w:tcW w:w="2436" w:type="dxa"/>
          </w:tcPr>
          <w:p w14:paraId="78D54317" w14:textId="77777777" w:rsidR="00C43C66" w:rsidRDefault="00000000">
            <w:r>
              <w:t>Capítulo</w:t>
            </w:r>
          </w:p>
        </w:tc>
        <w:tc>
          <w:tcPr>
            <w:tcW w:w="2436" w:type="dxa"/>
          </w:tcPr>
          <w:p w14:paraId="287BB9AD" w14:textId="77777777" w:rsidR="00C43C66" w:rsidRDefault="00000000">
            <w:r>
              <w:t>Descripción</w:t>
            </w:r>
          </w:p>
        </w:tc>
        <w:tc>
          <w:tcPr>
            <w:tcW w:w="2436" w:type="dxa"/>
          </w:tcPr>
          <w:p w14:paraId="2D8EE01D" w14:textId="77777777" w:rsidR="00C43C66" w:rsidRDefault="00000000">
            <w:r>
              <w:t>USD bilateral P2</w:t>
            </w:r>
          </w:p>
        </w:tc>
        <w:tc>
          <w:tcPr>
            <w:tcW w:w="2436" w:type="dxa"/>
          </w:tcPr>
          <w:p w14:paraId="5D389033" w14:textId="77777777" w:rsidR="00C43C66" w:rsidRDefault="00000000">
            <w:r>
              <w:t>% bilateral P2</w:t>
            </w:r>
          </w:p>
        </w:tc>
      </w:tr>
      <w:tr w:rsidR="00C43C66" w14:paraId="57CD8F24" w14:textId="77777777">
        <w:tc>
          <w:tcPr>
            <w:tcW w:w="2436" w:type="dxa"/>
          </w:tcPr>
          <w:p w14:paraId="62F65B6B" w14:textId="77777777" w:rsidR="00C43C66" w:rsidRDefault="00000000">
            <w:r>
              <w:t>47</w:t>
            </w:r>
          </w:p>
        </w:tc>
        <w:tc>
          <w:tcPr>
            <w:tcW w:w="2436" w:type="dxa"/>
          </w:tcPr>
          <w:p w14:paraId="201E0199" w14:textId="77777777" w:rsidR="00C43C66" w:rsidRDefault="00000000">
            <w:r>
              <w:t>Pasta de madera o de las demás materias fibrosas celulósicas</w:t>
            </w:r>
          </w:p>
        </w:tc>
        <w:tc>
          <w:tcPr>
            <w:tcW w:w="2436" w:type="dxa"/>
          </w:tcPr>
          <w:p w14:paraId="3A30095F" w14:textId="77777777" w:rsidR="00C43C66" w:rsidRDefault="00000000">
            <w:r>
              <w:t>USD 182,739.42</w:t>
            </w:r>
          </w:p>
        </w:tc>
        <w:tc>
          <w:tcPr>
            <w:tcW w:w="2436" w:type="dxa"/>
          </w:tcPr>
          <w:p w14:paraId="5FE46397" w14:textId="77777777" w:rsidR="00C43C66" w:rsidRDefault="00000000">
            <w:r>
              <w:t>100.00%</w:t>
            </w:r>
          </w:p>
        </w:tc>
      </w:tr>
      <w:tr w:rsidR="00C43C66" w14:paraId="2405A507" w14:textId="77777777">
        <w:tc>
          <w:tcPr>
            <w:tcW w:w="2436" w:type="dxa"/>
          </w:tcPr>
          <w:p w14:paraId="03F93884" w14:textId="77777777" w:rsidR="00C43C66" w:rsidRDefault="00000000">
            <w:r>
              <w:t>58</w:t>
            </w:r>
          </w:p>
        </w:tc>
        <w:tc>
          <w:tcPr>
            <w:tcW w:w="2436" w:type="dxa"/>
          </w:tcPr>
          <w:p w14:paraId="0AF9CAAA" w14:textId="77777777" w:rsidR="00C43C66" w:rsidRDefault="00000000">
            <w:r>
              <w:t xml:space="preserve">Tejidos especiales; superficies textiles con mechón insertado; </w:t>
            </w:r>
            <w:r>
              <w:lastRenderedPageBreak/>
              <w:t>encajes; tapicería; pasamanería; bordados</w:t>
            </w:r>
          </w:p>
        </w:tc>
        <w:tc>
          <w:tcPr>
            <w:tcW w:w="2436" w:type="dxa"/>
          </w:tcPr>
          <w:p w14:paraId="2BE0A3C4" w14:textId="77777777" w:rsidR="00C43C66" w:rsidRDefault="00000000">
            <w:r>
              <w:lastRenderedPageBreak/>
              <w:t>USD 67,646.39</w:t>
            </w:r>
          </w:p>
        </w:tc>
        <w:tc>
          <w:tcPr>
            <w:tcW w:w="2436" w:type="dxa"/>
          </w:tcPr>
          <w:p w14:paraId="63F75F08" w14:textId="77777777" w:rsidR="00C43C66" w:rsidRDefault="00000000">
            <w:r>
              <w:t>96.06%</w:t>
            </w:r>
          </w:p>
        </w:tc>
      </w:tr>
      <w:tr w:rsidR="00C43C66" w14:paraId="50568655" w14:textId="77777777">
        <w:tc>
          <w:tcPr>
            <w:tcW w:w="2436" w:type="dxa"/>
          </w:tcPr>
          <w:p w14:paraId="0798BF55" w14:textId="77777777" w:rsidR="00C43C66" w:rsidRDefault="00000000">
            <w:r>
              <w:t>10</w:t>
            </w:r>
          </w:p>
        </w:tc>
        <w:tc>
          <w:tcPr>
            <w:tcW w:w="2436" w:type="dxa"/>
          </w:tcPr>
          <w:p w14:paraId="09F0E5CA" w14:textId="77777777" w:rsidR="00C43C66" w:rsidRDefault="00000000">
            <w:r>
              <w:t>Cereales</w:t>
            </w:r>
          </w:p>
        </w:tc>
        <w:tc>
          <w:tcPr>
            <w:tcW w:w="2436" w:type="dxa"/>
          </w:tcPr>
          <w:p w14:paraId="79AC3BEA" w14:textId="77777777" w:rsidR="00C43C66" w:rsidRDefault="00000000">
            <w:r>
              <w:t>USD 7,945,084.91</w:t>
            </w:r>
          </w:p>
        </w:tc>
        <w:tc>
          <w:tcPr>
            <w:tcW w:w="2436" w:type="dxa"/>
          </w:tcPr>
          <w:p w14:paraId="5F836F6D" w14:textId="77777777" w:rsidR="00C43C66" w:rsidRDefault="00000000">
            <w:r>
              <w:t>87.66%</w:t>
            </w:r>
          </w:p>
        </w:tc>
      </w:tr>
      <w:tr w:rsidR="00C43C66" w14:paraId="12228DE8" w14:textId="77777777">
        <w:tc>
          <w:tcPr>
            <w:tcW w:w="2436" w:type="dxa"/>
          </w:tcPr>
          <w:p w14:paraId="226C4DA3" w14:textId="77777777" w:rsidR="00C43C66" w:rsidRDefault="00000000">
            <w:r>
              <w:t>60</w:t>
            </w:r>
          </w:p>
        </w:tc>
        <w:tc>
          <w:tcPr>
            <w:tcW w:w="2436" w:type="dxa"/>
          </w:tcPr>
          <w:p w14:paraId="2FEB2921" w14:textId="77777777" w:rsidR="00C43C66" w:rsidRDefault="00000000">
            <w:r>
              <w:t>Tejidos de punto</w:t>
            </w:r>
          </w:p>
        </w:tc>
        <w:tc>
          <w:tcPr>
            <w:tcW w:w="2436" w:type="dxa"/>
          </w:tcPr>
          <w:p w14:paraId="6B959254" w14:textId="77777777" w:rsidR="00C43C66" w:rsidRDefault="00000000">
            <w:r>
              <w:t>USD 312,109.93</w:t>
            </w:r>
          </w:p>
        </w:tc>
        <w:tc>
          <w:tcPr>
            <w:tcW w:w="2436" w:type="dxa"/>
          </w:tcPr>
          <w:p w14:paraId="641B9B52" w14:textId="77777777" w:rsidR="00C43C66" w:rsidRDefault="00000000">
            <w:r>
              <w:t>87.00%</w:t>
            </w:r>
          </w:p>
        </w:tc>
      </w:tr>
      <w:tr w:rsidR="00C43C66" w14:paraId="2F437200" w14:textId="77777777">
        <w:tc>
          <w:tcPr>
            <w:tcW w:w="2436" w:type="dxa"/>
          </w:tcPr>
          <w:p w14:paraId="52AAAD16" w14:textId="77777777" w:rsidR="00C43C66" w:rsidRDefault="00000000">
            <w:r>
              <w:t>36</w:t>
            </w:r>
          </w:p>
        </w:tc>
        <w:tc>
          <w:tcPr>
            <w:tcW w:w="2436" w:type="dxa"/>
          </w:tcPr>
          <w:p w14:paraId="78BEFA7B" w14:textId="77777777" w:rsidR="00C43C66" w:rsidRDefault="00000000">
            <w:r>
              <w:t>Pólvoras y explosivos; artículos de pirotecnia; fósforos</w:t>
            </w:r>
          </w:p>
        </w:tc>
        <w:tc>
          <w:tcPr>
            <w:tcW w:w="2436" w:type="dxa"/>
          </w:tcPr>
          <w:p w14:paraId="519C4A8D" w14:textId="77777777" w:rsidR="00C43C66" w:rsidRDefault="00000000">
            <w:r>
              <w:t>USD 526,131.42</w:t>
            </w:r>
          </w:p>
        </w:tc>
        <w:tc>
          <w:tcPr>
            <w:tcW w:w="2436" w:type="dxa"/>
          </w:tcPr>
          <w:p w14:paraId="73E4E573" w14:textId="77777777" w:rsidR="00C43C66" w:rsidRDefault="00000000">
            <w:r>
              <w:t>83.89%</w:t>
            </w:r>
          </w:p>
        </w:tc>
      </w:tr>
      <w:tr w:rsidR="00C43C66" w14:paraId="706F5ED8" w14:textId="77777777">
        <w:tc>
          <w:tcPr>
            <w:tcW w:w="2436" w:type="dxa"/>
          </w:tcPr>
          <w:p w14:paraId="49794257" w14:textId="77777777" w:rsidR="00C43C66" w:rsidRDefault="00000000">
            <w:r>
              <w:t>55</w:t>
            </w:r>
          </w:p>
        </w:tc>
        <w:tc>
          <w:tcPr>
            <w:tcW w:w="2436" w:type="dxa"/>
          </w:tcPr>
          <w:p w14:paraId="4BF2E35D" w14:textId="77777777" w:rsidR="00C43C66" w:rsidRDefault="00000000">
            <w:r>
              <w:t>Fibras sintéticas o artificiales discontinuas</w:t>
            </w:r>
          </w:p>
        </w:tc>
        <w:tc>
          <w:tcPr>
            <w:tcW w:w="2436" w:type="dxa"/>
          </w:tcPr>
          <w:p w14:paraId="400945DF" w14:textId="77777777" w:rsidR="00C43C66" w:rsidRDefault="00000000">
            <w:r>
              <w:t>USD 308,411.17</w:t>
            </w:r>
          </w:p>
        </w:tc>
        <w:tc>
          <w:tcPr>
            <w:tcW w:w="2436" w:type="dxa"/>
          </w:tcPr>
          <w:p w14:paraId="3ECA42BF" w14:textId="77777777" w:rsidR="00C43C66" w:rsidRDefault="00000000">
            <w:r>
              <w:t>81.90%</w:t>
            </w:r>
          </w:p>
        </w:tc>
      </w:tr>
      <w:tr w:rsidR="00C43C66" w14:paraId="60CC2D71" w14:textId="77777777">
        <w:tc>
          <w:tcPr>
            <w:tcW w:w="2436" w:type="dxa"/>
          </w:tcPr>
          <w:p w14:paraId="7B966CEA" w14:textId="77777777" w:rsidR="00C43C66" w:rsidRDefault="00000000">
            <w:r>
              <w:t>91</w:t>
            </w:r>
          </w:p>
        </w:tc>
        <w:tc>
          <w:tcPr>
            <w:tcW w:w="2436" w:type="dxa"/>
          </w:tcPr>
          <w:p w14:paraId="54DD554D" w14:textId="77777777" w:rsidR="00C43C66" w:rsidRDefault="00000000">
            <w:r>
              <w:t>Relojería</w:t>
            </w:r>
          </w:p>
        </w:tc>
        <w:tc>
          <w:tcPr>
            <w:tcW w:w="2436" w:type="dxa"/>
          </w:tcPr>
          <w:p w14:paraId="4A1E5465" w14:textId="77777777" w:rsidR="00C43C66" w:rsidRDefault="00000000">
            <w:r>
              <w:t>USD 5,044.00</w:t>
            </w:r>
          </w:p>
        </w:tc>
        <w:tc>
          <w:tcPr>
            <w:tcW w:w="2436" w:type="dxa"/>
          </w:tcPr>
          <w:p w14:paraId="08989657" w14:textId="77777777" w:rsidR="00C43C66" w:rsidRDefault="00000000">
            <w:r>
              <w:t>80.38%</w:t>
            </w:r>
          </w:p>
        </w:tc>
      </w:tr>
      <w:tr w:rsidR="00C43C66" w14:paraId="7A648278" w14:textId="77777777">
        <w:tc>
          <w:tcPr>
            <w:tcW w:w="2436" w:type="dxa"/>
          </w:tcPr>
          <w:p w14:paraId="13F83DD7" w14:textId="77777777" w:rsidR="00C43C66" w:rsidRDefault="00000000">
            <w:r>
              <w:t>54</w:t>
            </w:r>
          </w:p>
        </w:tc>
        <w:tc>
          <w:tcPr>
            <w:tcW w:w="2436" w:type="dxa"/>
          </w:tcPr>
          <w:p w14:paraId="35692943" w14:textId="77777777" w:rsidR="00C43C66" w:rsidRDefault="00000000">
            <w:r>
              <w:t>Filamentos sintéticos o artificiales</w:t>
            </w:r>
          </w:p>
        </w:tc>
        <w:tc>
          <w:tcPr>
            <w:tcW w:w="2436" w:type="dxa"/>
          </w:tcPr>
          <w:p w14:paraId="1E60C61C" w14:textId="77777777" w:rsidR="00C43C66" w:rsidRDefault="00000000">
            <w:r>
              <w:t>USD 399,191.68</w:t>
            </w:r>
          </w:p>
        </w:tc>
        <w:tc>
          <w:tcPr>
            <w:tcW w:w="2436" w:type="dxa"/>
          </w:tcPr>
          <w:p w14:paraId="019CE0B0" w14:textId="77777777" w:rsidR="00C43C66" w:rsidRDefault="00000000">
            <w:r>
              <w:t>69.67%</w:t>
            </w:r>
          </w:p>
        </w:tc>
      </w:tr>
    </w:tbl>
    <w:p w14:paraId="7CEE412F" w14:textId="77777777" w:rsidR="00C43C66" w:rsidRDefault="00000000">
      <w:pPr>
        <w:pStyle w:val="Citadestacada"/>
      </w:pPr>
      <w:r>
        <w:t>Capítulos con mayor valor bilateral en el segundo periodo:</w:t>
      </w:r>
    </w:p>
    <w:tbl>
      <w:tblPr>
        <w:tblStyle w:val="Tablaconcuadrcula"/>
        <w:tblW w:w="0" w:type="auto"/>
        <w:tblLook w:val="04A0" w:firstRow="1" w:lastRow="0" w:firstColumn="1" w:lastColumn="0" w:noHBand="0" w:noVBand="1"/>
      </w:tblPr>
      <w:tblGrid>
        <w:gridCol w:w="2436"/>
        <w:gridCol w:w="2436"/>
        <w:gridCol w:w="2436"/>
        <w:gridCol w:w="2436"/>
      </w:tblGrid>
      <w:tr w:rsidR="00C43C66" w14:paraId="5574030B" w14:textId="77777777">
        <w:tc>
          <w:tcPr>
            <w:tcW w:w="2436" w:type="dxa"/>
          </w:tcPr>
          <w:p w14:paraId="5B479CBC" w14:textId="77777777" w:rsidR="00C43C66" w:rsidRDefault="00000000">
            <w:r>
              <w:t>Capítulo</w:t>
            </w:r>
          </w:p>
        </w:tc>
        <w:tc>
          <w:tcPr>
            <w:tcW w:w="2436" w:type="dxa"/>
          </w:tcPr>
          <w:p w14:paraId="6554D174" w14:textId="77777777" w:rsidR="00C43C66" w:rsidRDefault="00000000">
            <w:r>
              <w:t>Descripción</w:t>
            </w:r>
          </w:p>
        </w:tc>
        <w:tc>
          <w:tcPr>
            <w:tcW w:w="2436" w:type="dxa"/>
          </w:tcPr>
          <w:p w14:paraId="01F44455" w14:textId="77777777" w:rsidR="00C43C66" w:rsidRDefault="00000000">
            <w:r>
              <w:t>USD bilateral P2</w:t>
            </w:r>
          </w:p>
        </w:tc>
        <w:tc>
          <w:tcPr>
            <w:tcW w:w="2436" w:type="dxa"/>
          </w:tcPr>
          <w:p w14:paraId="12EE27A8" w14:textId="77777777" w:rsidR="00C43C66" w:rsidRDefault="00000000">
            <w:r>
              <w:t>% bilateral P2</w:t>
            </w:r>
          </w:p>
        </w:tc>
      </w:tr>
      <w:tr w:rsidR="00C43C66" w14:paraId="0458D237" w14:textId="77777777">
        <w:tc>
          <w:tcPr>
            <w:tcW w:w="2436" w:type="dxa"/>
          </w:tcPr>
          <w:p w14:paraId="5EA59183" w14:textId="77777777" w:rsidR="00C43C66" w:rsidRDefault="00000000">
            <w:r>
              <w:t>16</w:t>
            </w:r>
          </w:p>
        </w:tc>
        <w:tc>
          <w:tcPr>
            <w:tcW w:w="2436" w:type="dxa"/>
          </w:tcPr>
          <w:p w14:paraId="10CC4A99" w14:textId="77777777" w:rsidR="00C43C66" w:rsidRDefault="00000000">
            <w:r>
              <w:t>Preparaciones de carne, pescado o crustáceos</w:t>
            </w:r>
          </w:p>
        </w:tc>
        <w:tc>
          <w:tcPr>
            <w:tcW w:w="2436" w:type="dxa"/>
          </w:tcPr>
          <w:p w14:paraId="08569AAA" w14:textId="77777777" w:rsidR="00C43C66" w:rsidRDefault="00000000">
            <w:r>
              <w:t>USD 51,735,831.18</w:t>
            </w:r>
          </w:p>
        </w:tc>
        <w:tc>
          <w:tcPr>
            <w:tcW w:w="2436" w:type="dxa"/>
          </w:tcPr>
          <w:p w14:paraId="7D781F61" w14:textId="77777777" w:rsidR="00C43C66" w:rsidRDefault="00000000">
            <w:r>
              <w:t>9.51%</w:t>
            </w:r>
          </w:p>
        </w:tc>
      </w:tr>
      <w:tr w:rsidR="00C43C66" w14:paraId="0644556B" w14:textId="77777777">
        <w:tc>
          <w:tcPr>
            <w:tcW w:w="2436" w:type="dxa"/>
          </w:tcPr>
          <w:p w14:paraId="5E8532C3" w14:textId="77777777" w:rsidR="00C43C66" w:rsidRDefault="00000000">
            <w:r>
              <w:t>03</w:t>
            </w:r>
          </w:p>
        </w:tc>
        <w:tc>
          <w:tcPr>
            <w:tcW w:w="2436" w:type="dxa"/>
          </w:tcPr>
          <w:p w14:paraId="36F9582E" w14:textId="77777777" w:rsidR="00C43C66" w:rsidRDefault="00000000">
            <w:r>
              <w:t>Pescados y crustáceos, moluscos y demás invertebrados acuáticos</w:t>
            </w:r>
          </w:p>
        </w:tc>
        <w:tc>
          <w:tcPr>
            <w:tcW w:w="2436" w:type="dxa"/>
          </w:tcPr>
          <w:p w14:paraId="16B8A16C" w14:textId="77777777" w:rsidR="00C43C66" w:rsidRDefault="00000000">
            <w:r>
              <w:t>USD 35,677,957.93</w:t>
            </w:r>
          </w:p>
        </w:tc>
        <w:tc>
          <w:tcPr>
            <w:tcW w:w="2436" w:type="dxa"/>
          </w:tcPr>
          <w:p w14:paraId="4415755D" w14:textId="77777777" w:rsidR="00C43C66" w:rsidRDefault="00000000">
            <w:r>
              <w:t>0.85%</w:t>
            </w:r>
          </w:p>
        </w:tc>
      </w:tr>
      <w:tr w:rsidR="00C43C66" w14:paraId="63A83928" w14:textId="77777777">
        <w:tc>
          <w:tcPr>
            <w:tcW w:w="2436" w:type="dxa"/>
          </w:tcPr>
          <w:p w14:paraId="068D9B2E" w14:textId="77777777" w:rsidR="00C43C66" w:rsidRDefault="00000000">
            <w:r>
              <w:t>15</w:t>
            </w:r>
          </w:p>
        </w:tc>
        <w:tc>
          <w:tcPr>
            <w:tcW w:w="2436" w:type="dxa"/>
          </w:tcPr>
          <w:p w14:paraId="0186D4C2" w14:textId="77777777" w:rsidR="00C43C66" w:rsidRDefault="00000000">
            <w:r>
              <w:t>Grasas y aceites animales o vegetales</w:t>
            </w:r>
          </w:p>
        </w:tc>
        <w:tc>
          <w:tcPr>
            <w:tcW w:w="2436" w:type="dxa"/>
          </w:tcPr>
          <w:p w14:paraId="2C9CCDED" w14:textId="77777777" w:rsidR="00C43C66" w:rsidRDefault="00000000">
            <w:r>
              <w:t>USD 28,311,769.09</w:t>
            </w:r>
          </w:p>
        </w:tc>
        <w:tc>
          <w:tcPr>
            <w:tcW w:w="2436" w:type="dxa"/>
          </w:tcPr>
          <w:p w14:paraId="1694C076" w14:textId="77777777" w:rsidR="00C43C66" w:rsidRDefault="00000000">
            <w:r>
              <w:t>36.33%</w:t>
            </w:r>
          </w:p>
        </w:tc>
      </w:tr>
      <w:tr w:rsidR="00C43C66" w14:paraId="28551D96" w14:textId="77777777">
        <w:tc>
          <w:tcPr>
            <w:tcW w:w="2436" w:type="dxa"/>
          </w:tcPr>
          <w:p w14:paraId="47A5A443" w14:textId="77777777" w:rsidR="00C43C66" w:rsidRDefault="00000000">
            <w:r>
              <w:t>44</w:t>
            </w:r>
          </w:p>
        </w:tc>
        <w:tc>
          <w:tcPr>
            <w:tcW w:w="2436" w:type="dxa"/>
          </w:tcPr>
          <w:p w14:paraId="389B6FB6" w14:textId="77777777" w:rsidR="00C43C66" w:rsidRDefault="00000000">
            <w:r>
              <w:t>Madera, carbón vegetal y manufacturas de madera</w:t>
            </w:r>
          </w:p>
        </w:tc>
        <w:tc>
          <w:tcPr>
            <w:tcW w:w="2436" w:type="dxa"/>
          </w:tcPr>
          <w:p w14:paraId="3E197CFF" w14:textId="77777777" w:rsidR="00C43C66" w:rsidRDefault="00000000">
            <w:r>
              <w:t>USD 22,316,576.59</w:t>
            </w:r>
          </w:p>
        </w:tc>
        <w:tc>
          <w:tcPr>
            <w:tcW w:w="2436" w:type="dxa"/>
          </w:tcPr>
          <w:p w14:paraId="72DD2158" w14:textId="77777777" w:rsidR="00C43C66" w:rsidRDefault="00000000">
            <w:r>
              <w:t>14.11%</w:t>
            </w:r>
          </w:p>
        </w:tc>
      </w:tr>
      <w:tr w:rsidR="00C43C66" w14:paraId="54D59191" w14:textId="77777777">
        <w:tc>
          <w:tcPr>
            <w:tcW w:w="2436" w:type="dxa"/>
          </w:tcPr>
          <w:p w14:paraId="645CDDA1" w14:textId="77777777" w:rsidR="00C43C66" w:rsidRDefault="00000000">
            <w:r>
              <w:t>39</w:t>
            </w:r>
          </w:p>
        </w:tc>
        <w:tc>
          <w:tcPr>
            <w:tcW w:w="2436" w:type="dxa"/>
          </w:tcPr>
          <w:p w14:paraId="59AF5708" w14:textId="77777777" w:rsidR="00C43C66" w:rsidRDefault="00000000">
            <w:r>
              <w:t>Plásticos y sus manufacturas</w:t>
            </w:r>
          </w:p>
        </w:tc>
        <w:tc>
          <w:tcPr>
            <w:tcW w:w="2436" w:type="dxa"/>
          </w:tcPr>
          <w:p w14:paraId="36AABD2D" w14:textId="77777777" w:rsidR="00C43C66" w:rsidRDefault="00000000">
            <w:r>
              <w:t>USD 11,487,763.67</w:t>
            </w:r>
          </w:p>
        </w:tc>
        <w:tc>
          <w:tcPr>
            <w:tcW w:w="2436" w:type="dxa"/>
          </w:tcPr>
          <w:p w14:paraId="4F283712" w14:textId="77777777" w:rsidR="00C43C66" w:rsidRDefault="00000000">
            <w:r>
              <w:t>24.67%</w:t>
            </w:r>
          </w:p>
        </w:tc>
      </w:tr>
      <w:tr w:rsidR="00C43C66" w14:paraId="51B71115" w14:textId="77777777">
        <w:tc>
          <w:tcPr>
            <w:tcW w:w="2436" w:type="dxa"/>
          </w:tcPr>
          <w:p w14:paraId="203E5453" w14:textId="77777777" w:rsidR="00C43C66" w:rsidRDefault="00000000">
            <w:r>
              <w:t>06</w:t>
            </w:r>
          </w:p>
        </w:tc>
        <w:tc>
          <w:tcPr>
            <w:tcW w:w="2436" w:type="dxa"/>
          </w:tcPr>
          <w:p w14:paraId="1235B62B" w14:textId="77777777" w:rsidR="00C43C66" w:rsidRDefault="00000000">
            <w:r>
              <w:t>Plantas vivas y productos de la floricultura</w:t>
            </w:r>
          </w:p>
        </w:tc>
        <w:tc>
          <w:tcPr>
            <w:tcW w:w="2436" w:type="dxa"/>
          </w:tcPr>
          <w:p w14:paraId="319A4412" w14:textId="77777777" w:rsidR="00C43C66" w:rsidRDefault="00000000">
            <w:r>
              <w:t>USD 11,130,194.27</w:t>
            </w:r>
          </w:p>
        </w:tc>
        <w:tc>
          <w:tcPr>
            <w:tcW w:w="2436" w:type="dxa"/>
          </w:tcPr>
          <w:p w14:paraId="06324614" w14:textId="77777777" w:rsidR="00C43C66" w:rsidRDefault="00000000">
            <w:r>
              <w:t>0.47%</w:t>
            </w:r>
          </w:p>
        </w:tc>
      </w:tr>
      <w:tr w:rsidR="00C43C66" w14:paraId="63982D75" w14:textId="77777777">
        <w:tc>
          <w:tcPr>
            <w:tcW w:w="2436" w:type="dxa"/>
          </w:tcPr>
          <w:p w14:paraId="771725B9" w14:textId="77777777" w:rsidR="00C43C66" w:rsidRDefault="00000000">
            <w:r>
              <w:t>73</w:t>
            </w:r>
          </w:p>
        </w:tc>
        <w:tc>
          <w:tcPr>
            <w:tcW w:w="2436" w:type="dxa"/>
          </w:tcPr>
          <w:p w14:paraId="4E0F14E8" w14:textId="77777777" w:rsidR="00C43C66" w:rsidRDefault="00000000">
            <w:r>
              <w:t>Manufacturas de fundición, hierro o acero</w:t>
            </w:r>
          </w:p>
        </w:tc>
        <w:tc>
          <w:tcPr>
            <w:tcW w:w="2436" w:type="dxa"/>
          </w:tcPr>
          <w:p w14:paraId="33A1D4EF" w14:textId="77777777" w:rsidR="00C43C66" w:rsidRDefault="00000000">
            <w:r>
              <w:t>USD 8,847,748.16</w:t>
            </w:r>
          </w:p>
        </w:tc>
        <w:tc>
          <w:tcPr>
            <w:tcW w:w="2436" w:type="dxa"/>
          </w:tcPr>
          <w:p w14:paraId="6272A7B1" w14:textId="77777777" w:rsidR="00C43C66" w:rsidRDefault="00000000">
            <w:r>
              <w:t>24.60%</w:t>
            </w:r>
          </w:p>
        </w:tc>
      </w:tr>
      <w:tr w:rsidR="00C43C66" w14:paraId="76B8687B" w14:textId="77777777">
        <w:tc>
          <w:tcPr>
            <w:tcW w:w="2436" w:type="dxa"/>
          </w:tcPr>
          <w:p w14:paraId="6014BA84" w14:textId="77777777" w:rsidR="00C43C66" w:rsidRDefault="00000000">
            <w:r>
              <w:t>10</w:t>
            </w:r>
          </w:p>
        </w:tc>
        <w:tc>
          <w:tcPr>
            <w:tcW w:w="2436" w:type="dxa"/>
          </w:tcPr>
          <w:p w14:paraId="16445211" w14:textId="77777777" w:rsidR="00C43C66" w:rsidRDefault="00000000">
            <w:r>
              <w:t>Cereales</w:t>
            </w:r>
          </w:p>
        </w:tc>
        <w:tc>
          <w:tcPr>
            <w:tcW w:w="2436" w:type="dxa"/>
          </w:tcPr>
          <w:p w14:paraId="560D102B" w14:textId="77777777" w:rsidR="00C43C66" w:rsidRDefault="00000000">
            <w:r>
              <w:t>USD 7,945,084.91</w:t>
            </w:r>
          </w:p>
        </w:tc>
        <w:tc>
          <w:tcPr>
            <w:tcW w:w="2436" w:type="dxa"/>
          </w:tcPr>
          <w:p w14:paraId="4E323217" w14:textId="77777777" w:rsidR="00C43C66" w:rsidRDefault="00000000">
            <w:r>
              <w:t>87.66%</w:t>
            </w:r>
          </w:p>
        </w:tc>
      </w:tr>
    </w:tbl>
    <w:p w14:paraId="1B8D2581" w14:textId="77777777" w:rsidR="00C43C66" w:rsidRDefault="00000000">
      <w:pPr>
        <w:pStyle w:val="Ttulo2"/>
      </w:pPr>
      <w:r>
        <w:t>5.3 Colombia: importaciones desde Ecuador</w:t>
      </w:r>
    </w:p>
    <w:p w14:paraId="10E49238" w14:textId="77777777" w:rsidR="00C43C66" w:rsidRDefault="00000000">
      <w:r>
        <w:t>La exposición importadora de Colombia frente a Ecuador es moderada en el agregado, aunque existe concentración importante en algunos capítulos específicos.</w:t>
      </w:r>
    </w:p>
    <w:p w14:paraId="2BCA2558" w14:textId="77777777" w:rsidR="00C43C66" w:rsidRDefault="00000000">
      <w:pPr>
        <w:pStyle w:val="Citadestacada"/>
      </w:pPr>
      <w:r>
        <w:t>Capítulos con mayor dependencia bilateral en el segundo periodo:</w:t>
      </w:r>
    </w:p>
    <w:tbl>
      <w:tblPr>
        <w:tblStyle w:val="Tablaconcuadrcula"/>
        <w:tblW w:w="0" w:type="auto"/>
        <w:tblLook w:val="04A0" w:firstRow="1" w:lastRow="0" w:firstColumn="1" w:lastColumn="0" w:noHBand="0" w:noVBand="1"/>
      </w:tblPr>
      <w:tblGrid>
        <w:gridCol w:w="2436"/>
        <w:gridCol w:w="2436"/>
        <w:gridCol w:w="2436"/>
        <w:gridCol w:w="2436"/>
      </w:tblGrid>
      <w:tr w:rsidR="00C43C66" w14:paraId="71D5C52B" w14:textId="77777777">
        <w:tc>
          <w:tcPr>
            <w:tcW w:w="2436" w:type="dxa"/>
          </w:tcPr>
          <w:p w14:paraId="050760E3" w14:textId="77777777" w:rsidR="00C43C66" w:rsidRDefault="00000000">
            <w:r>
              <w:t>Capítulo</w:t>
            </w:r>
          </w:p>
        </w:tc>
        <w:tc>
          <w:tcPr>
            <w:tcW w:w="2436" w:type="dxa"/>
          </w:tcPr>
          <w:p w14:paraId="071C959F" w14:textId="77777777" w:rsidR="00C43C66" w:rsidRDefault="00000000">
            <w:r>
              <w:t>Descripción</w:t>
            </w:r>
          </w:p>
        </w:tc>
        <w:tc>
          <w:tcPr>
            <w:tcW w:w="2436" w:type="dxa"/>
          </w:tcPr>
          <w:p w14:paraId="6EA4AE3B" w14:textId="77777777" w:rsidR="00C43C66" w:rsidRDefault="00000000">
            <w:r>
              <w:t>USD bilateral P2</w:t>
            </w:r>
          </w:p>
        </w:tc>
        <w:tc>
          <w:tcPr>
            <w:tcW w:w="2436" w:type="dxa"/>
          </w:tcPr>
          <w:p w14:paraId="3EBCF37D" w14:textId="77777777" w:rsidR="00C43C66" w:rsidRDefault="00000000">
            <w:r>
              <w:t>% bilateral P2</w:t>
            </w:r>
          </w:p>
        </w:tc>
      </w:tr>
      <w:tr w:rsidR="00C43C66" w14:paraId="2D2808FB" w14:textId="77777777">
        <w:tc>
          <w:tcPr>
            <w:tcW w:w="2436" w:type="dxa"/>
          </w:tcPr>
          <w:p w14:paraId="30F9FCC1" w14:textId="77777777" w:rsidR="00C43C66" w:rsidRDefault="00000000">
            <w:r>
              <w:t>16</w:t>
            </w:r>
          </w:p>
        </w:tc>
        <w:tc>
          <w:tcPr>
            <w:tcW w:w="2436" w:type="dxa"/>
          </w:tcPr>
          <w:p w14:paraId="016254F4" w14:textId="77777777" w:rsidR="00C43C66" w:rsidRDefault="00000000">
            <w:r>
              <w:t>Preparaciones de carne, pescado o crustáceos</w:t>
            </w:r>
          </w:p>
        </w:tc>
        <w:tc>
          <w:tcPr>
            <w:tcW w:w="2436" w:type="dxa"/>
          </w:tcPr>
          <w:p w14:paraId="3461CA24" w14:textId="77777777" w:rsidR="00C43C66" w:rsidRDefault="00000000">
            <w:r>
              <w:t>USD 46,280,248.57</w:t>
            </w:r>
          </w:p>
        </w:tc>
        <w:tc>
          <w:tcPr>
            <w:tcW w:w="2436" w:type="dxa"/>
          </w:tcPr>
          <w:p w14:paraId="26949515" w14:textId="77777777" w:rsidR="00C43C66" w:rsidRDefault="00000000">
            <w:r>
              <w:t>82.34%</w:t>
            </w:r>
          </w:p>
        </w:tc>
      </w:tr>
      <w:tr w:rsidR="00C43C66" w14:paraId="3AD549BF" w14:textId="77777777">
        <w:tc>
          <w:tcPr>
            <w:tcW w:w="2436" w:type="dxa"/>
          </w:tcPr>
          <w:p w14:paraId="73ED45CE" w14:textId="77777777" w:rsidR="00C43C66" w:rsidRDefault="00000000">
            <w:r>
              <w:t>78</w:t>
            </w:r>
          </w:p>
        </w:tc>
        <w:tc>
          <w:tcPr>
            <w:tcW w:w="2436" w:type="dxa"/>
          </w:tcPr>
          <w:p w14:paraId="709BF65E" w14:textId="77777777" w:rsidR="00C43C66" w:rsidRDefault="00000000">
            <w:r>
              <w:t>Plomo y sus manufacturas</w:t>
            </w:r>
          </w:p>
        </w:tc>
        <w:tc>
          <w:tcPr>
            <w:tcW w:w="2436" w:type="dxa"/>
          </w:tcPr>
          <w:p w14:paraId="2A47666A" w14:textId="77777777" w:rsidR="00C43C66" w:rsidRDefault="00000000">
            <w:r>
              <w:t>USD 1,002,562.47</w:t>
            </w:r>
          </w:p>
        </w:tc>
        <w:tc>
          <w:tcPr>
            <w:tcW w:w="2436" w:type="dxa"/>
          </w:tcPr>
          <w:p w14:paraId="1030CA80" w14:textId="77777777" w:rsidR="00C43C66" w:rsidRDefault="00000000">
            <w:r>
              <w:t>38.84%</w:t>
            </w:r>
          </w:p>
        </w:tc>
      </w:tr>
      <w:tr w:rsidR="00C43C66" w14:paraId="67659B3E" w14:textId="77777777">
        <w:tc>
          <w:tcPr>
            <w:tcW w:w="2436" w:type="dxa"/>
          </w:tcPr>
          <w:p w14:paraId="237AF589" w14:textId="77777777" w:rsidR="00C43C66" w:rsidRDefault="00000000">
            <w:r>
              <w:t>44</w:t>
            </w:r>
          </w:p>
        </w:tc>
        <w:tc>
          <w:tcPr>
            <w:tcW w:w="2436" w:type="dxa"/>
          </w:tcPr>
          <w:p w14:paraId="3F2A57BF" w14:textId="77777777" w:rsidR="00C43C66" w:rsidRDefault="00000000">
            <w:r>
              <w:t xml:space="preserve">Madera, carbón vegetal </w:t>
            </w:r>
            <w:r>
              <w:lastRenderedPageBreak/>
              <w:t>y manufacturas de madera</w:t>
            </w:r>
          </w:p>
        </w:tc>
        <w:tc>
          <w:tcPr>
            <w:tcW w:w="2436" w:type="dxa"/>
          </w:tcPr>
          <w:p w14:paraId="5674FF18" w14:textId="77777777" w:rsidR="00C43C66" w:rsidRDefault="00000000">
            <w:r>
              <w:lastRenderedPageBreak/>
              <w:t>USD 22,966,550.15</w:t>
            </w:r>
          </w:p>
        </w:tc>
        <w:tc>
          <w:tcPr>
            <w:tcW w:w="2436" w:type="dxa"/>
          </w:tcPr>
          <w:p w14:paraId="616B2B36" w14:textId="77777777" w:rsidR="00C43C66" w:rsidRDefault="00000000">
            <w:r>
              <w:t>27.34%</w:t>
            </w:r>
          </w:p>
        </w:tc>
      </w:tr>
      <w:tr w:rsidR="00C43C66" w14:paraId="4A843FD9" w14:textId="77777777">
        <w:tc>
          <w:tcPr>
            <w:tcW w:w="2436" w:type="dxa"/>
          </w:tcPr>
          <w:p w14:paraId="4001978E" w14:textId="77777777" w:rsidR="00C43C66" w:rsidRDefault="00000000">
            <w:r>
              <w:t>15</w:t>
            </w:r>
          </w:p>
        </w:tc>
        <w:tc>
          <w:tcPr>
            <w:tcW w:w="2436" w:type="dxa"/>
          </w:tcPr>
          <w:p w14:paraId="181FE9FF" w14:textId="77777777" w:rsidR="00C43C66" w:rsidRDefault="00000000">
            <w:r>
              <w:t>Grasas y aceites animales o vegetales</w:t>
            </w:r>
          </w:p>
        </w:tc>
        <w:tc>
          <w:tcPr>
            <w:tcW w:w="2436" w:type="dxa"/>
          </w:tcPr>
          <w:p w14:paraId="1B609316" w14:textId="77777777" w:rsidR="00C43C66" w:rsidRDefault="00000000">
            <w:r>
              <w:t>USD 30,617,224.08</w:t>
            </w:r>
          </w:p>
        </w:tc>
        <w:tc>
          <w:tcPr>
            <w:tcW w:w="2436" w:type="dxa"/>
          </w:tcPr>
          <w:p w14:paraId="62F7765A" w14:textId="77777777" w:rsidR="00C43C66" w:rsidRDefault="00000000">
            <w:r>
              <w:t>16.82%</w:t>
            </w:r>
          </w:p>
        </w:tc>
      </w:tr>
      <w:tr w:rsidR="00C43C66" w14:paraId="22C4AAB6" w14:textId="77777777">
        <w:tc>
          <w:tcPr>
            <w:tcW w:w="2436" w:type="dxa"/>
          </w:tcPr>
          <w:p w14:paraId="4E9249EA" w14:textId="77777777" w:rsidR="00C43C66" w:rsidRDefault="00000000">
            <w:r>
              <w:t>18</w:t>
            </w:r>
          </w:p>
        </w:tc>
        <w:tc>
          <w:tcPr>
            <w:tcW w:w="2436" w:type="dxa"/>
          </w:tcPr>
          <w:p w14:paraId="5D2A66EE" w14:textId="77777777" w:rsidR="00C43C66" w:rsidRDefault="00000000">
            <w:r>
              <w:t>Cacao y sus preparaciones</w:t>
            </w:r>
          </w:p>
        </w:tc>
        <w:tc>
          <w:tcPr>
            <w:tcW w:w="2436" w:type="dxa"/>
          </w:tcPr>
          <w:p w14:paraId="3EBB98E5" w14:textId="77777777" w:rsidR="00C43C66" w:rsidRDefault="00000000">
            <w:r>
              <w:t>USD 3,060,047.43</w:t>
            </w:r>
          </w:p>
        </w:tc>
        <w:tc>
          <w:tcPr>
            <w:tcW w:w="2436" w:type="dxa"/>
          </w:tcPr>
          <w:p w14:paraId="3DE55A44" w14:textId="77777777" w:rsidR="00C43C66" w:rsidRDefault="00000000">
            <w:r>
              <w:t>14.23%</w:t>
            </w:r>
          </w:p>
        </w:tc>
      </w:tr>
      <w:tr w:rsidR="00C43C66" w14:paraId="18A2CBD9" w14:textId="77777777">
        <w:tc>
          <w:tcPr>
            <w:tcW w:w="2436" w:type="dxa"/>
          </w:tcPr>
          <w:p w14:paraId="6DD5D0F2" w14:textId="77777777" w:rsidR="00C43C66" w:rsidRDefault="00000000">
            <w:r>
              <w:t>26</w:t>
            </w:r>
          </w:p>
        </w:tc>
        <w:tc>
          <w:tcPr>
            <w:tcW w:w="2436" w:type="dxa"/>
          </w:tcPr>
          <w:p w14:paraId="3EBDC308" w14:textId="77777777" w:rsidR="00C43C66" w:rsidRDefault="00000000">
            <w:r>
              <w:t>Minerales metalíferos, escorias y cenizas</w:t>
            </w:r>
          </w:p>
        </w:tc>
        <w:tc>
          <w:tcPr>
            <w:tcW w:w="2436" w:type="dxa"/>
          </w:tcPr>
          <w:p w14:paraId="10EFF222" w14:textId="77777777" w:rsidR="00C43C66" w:rsidRDefault="00000000">
            <w:r>
              <w:t>USD 428,207.46</w:t>
            </w:r>
          </w:p>
        </w:tc>
        <w:tc>
          <w:tcPr>
            <w:tcW w:w="2436" w:type="dxa"/>
          </w:tcPr>
          <w:p w14:paraId="6028CF3A" w14:textId="77777777" w:rsidR="00C43C66" w:rsidRDefault="00000000">
            <w:r>
              <w:t>12.61%</w:t>
            </w:r>
          </w:p>
        </w:tc>
      </w:tr>
      <w:tr w:rsidR="00C43C66" w14:paraId="07277E50" w14:textId="77777777">
        <w:tc>
          <w:tcPr>
            <w:tcW w:w="2436" w:type="dxa"/>
          </w:tcPr>
          <w:p w14:paraId="38730D43" w14:textId="77777777" w:rsidR="00C43C66" w:rsidRDefault="00000000">
            <w:r>
              <w:t>36</w:t>
            </w:r>
          </w:p>
        </w:tc>
        <w:tc>
          <w:tcPr>
            <w:tcW w:w="2436" w:type="dxa"/>
          </w:tcPr>
          <w:p w14:paraId="30D09D7B" w14:textId="77777777" w:rsidR="00C43C66" w:rsidRDefault="00000000">
            <w:r>
              <w:t>Pólvoras y explosivos; artículos de pirotecnia; fósforos</w:t>
            </w:r>
          </w:p>
        </w:tc>
        <w:tc>
          <w:tcPr>
            <w:tcW w:w="2436" w:type="dxa"/>
          </w:tcPr>
          <w:p w14:paraId="4E363EDD" w14:textId="77777777" w:rsidR="00C43C66" w:rsidRDefault="00000000">
            <w:r>
              <w:t>USD 384,756.77</w:t>
            </w:r>
          </w:p>
        </w:tc>
        <w:tc>
          <w:tcPr>
            <w:tcW w:w="2436" w:type="dxa"/>
          </w:tcPr>
          <w:p w14:paraId="1216938F" w14:textId="77777777" w:rsidR="00C43C66" w:rsidRDefault="00000000">
            <w:r>
              <w:t>6.50%</w:t>
            </w:r>
          </w:p>
        </w:tc>
      </w:tr>
      <w:tr w:rsidR="00C43C66" w14:paraId="3E4E058C" w14:textId="77777777">
        <w:tc>
          <w:tcPr>
            <w:tcW w:w="2436" w:type="dxa"/>
          </w:tcPr>
          <w:p w14:paraId="112580BB" w14:textId="77777777" w:rsidR="00C43C66" w:rsidRDefault="00000000">
            <w:r>
              <w:t>21</w:t>
            </w:r>
          </w:p>
        </w:tc>
        <w:tc>
          <w:tcPr>
            <w:tcW w:w="2436" w:type="dxa"/>
          </w:tcPr>
          <w:p w14:paraId="66C84C37" w14:textId="77777777" w:rsidR="00C43C66" w:rsidRDefault="00000000">
            <w:r>
              <w:t>Preparaciones alimenticias diversas</w:t>
            </w:r>
          </w:p>
        </w:tc>
        <w:tc>
          <w:tcPr>
            <w:tcW w:w="2436" w:type="dxa"/>
          </w:tcPr>
          <w:p w14:paraId="2D20C25B" w14:textId="77777777" w:rsidR="00C43C66" w:rsidRDefault="00000000">
            <w:r>
              <w:t>USD 6,262,196.49</w:t>
            </w:r>
          </w:p>
        </w:tc>
        <w:tc>
          <w:tcPr>
            <w:tcW w:w="2436" w:type="dxa"/>
          </w:tcPr>
          <w:p w14:paraId="5CCCF7DF" w14:textId="77777777" w:rsidR="00C43C66" w:rsidRDefault="00000000">
            <w:r>
              <w:t>5.88%</w:t>
            </w:r>
          </w:p>
        </w:tc>
      </w:tr>
    </w:tbl>
    <w:p w14:paraId="5237960A" w14:textId="77777777" w:rsidR="00C43C66" w:rsidRDefault="00000000">
      <w:pPr>
        <w:pStyle w:val="Citadestacada"/>
      </w:pPr>
      <w:r>
        <w:t>Capítulos con mayor valor bilateral en el segundo periodo:</w:t>
      </w:r>
    </w:p>
    <w:tbl>
      <w:tblPr>
        <w:tblStyle w:val="Tablaconcuadrcula"/>
        <w:tblW w:w="0" w:type="auto"/>
        <w:tblLook w:val="04A0" w:firstRow="1" w:lastRow="0" w:firstColumn="1" w:lastColumn="0" w:noHBand="0" w:noVBand="1"/>
      </w:tblPr>
      <w:tblGrid>
        <w:gridCol w:w="2436"/>
        <w:gridCol w:w="2436"/>
        <w:gridCol w:w="2436"/>
        <w:gridCol w:w="2436"/>
      </w:tblGrid>
      <w:tr w:rsidR="00C43C66" w14:paraId="4FBD3046" w14:textId="77777777">
        <w:tc>
          <w:tcPr>
            <w:tcW w:w="2436" w:type="dxa"/>
          </w:tcPr>
          <w:p w14:paraId="3983D0BB" w14:textId="77777777" w:rsidR="00C43C66" w:rsidRDefault="00000000">
            <w:r>
              <w:t>Capítulo</w:t>
            </w:r>
          </w:p>
        </w:tc>
        <w:tc>
          <w:tcPr>
            <w:tcW w:w="2436" w:type="dxa"/>
          </w:tcPr>
          <w:p w14:paraId="10EB5A45" w14:textId="77777777" w:rsidR="00C43C66" w:rsidRDefault="00000000">
            <w:r>
              <w:t>Descripción</w:t>
            </w:r>
          </w:p>
        </w:tc>
        <w:tc>
          <w:tcPr>
            <w:tcW w:w="2436" w:type="dxa"/>
          </w:tcPr>
          <w:p w14:paraId="2FF2D5B8" w14:textId="77777777" w:rsidR="00C43C66" w:rsidRDefault="00000000">
            <w:r>
              <w:t>USD bilateral P2</w:t>
            </w:r>
          </w:p>
        </w:tc>
        <w:tc>
          <w:tcPr>
            <w:tcW w:w="2436" w:type="dxa"/>
          </w:tcPr>
          <w:p w14:paraId="11FDC6B8" w14:textId="77777777" w:rsidR="00C43C66" w:rsidRDefault="00000000">
            <w:r>
              <w:t>% bilateral P2</w:t>
            </w:r>
          </w:p>
        </w:tc>
      </w:tr>
      <w:tr w:rsidR="00C43C66" w14:paraId="3E1B8B96" w14:textId="77777777">
        <w:tc>
          <w:tcPr>
            <w:tcW w:w="2436" w:type="dxa"/>
          </w:tcPr>
          <w:p w14:paraId="27F1C672" w14:textId="77777777" w:rsidR="00C43C66" w:rsidRDefault="00000000">
            <w:r>
              <w:t>16</w:t>
            </w:r>
          </w:p>
        </w:tc>
        <w:tc>
          <w:tcPr>
            <w:tcW w:w="2436" w:type="dxa"/>
          </w:tcPr>
          <w:p w14:paraId="0156D52A" w14:textId="77777777" w:rsidR="00C43C66" w:rsidRDefault="00000000">
            <w:r>
              <w:t>Preparaciones de carne, pescado o crustáceos</w:t>
            </w:r>
          </w:p>
        </w:tc>
        <w:tc>
          <w:tcPr>
            <w:tcW w:w="2436" w:type="dxa"/>
          </w:tcPr>
          <w:p w14:paraId="7B3C6640" w14:textId="77777777" w:rsidR="00C43C66" w:rsidRDefault="00000000">
            <w:r>
              <w:t>USD 46,280,248.57</w:t>
            </w:r>
          </w:p>
        </w:tc>
        <w:tc>
          <w:tcPr>
            <w:tcW w:w="2436" w:type="dxa"/>
          </w:tcPr>
          <w:p w14:paraId="572B95B8" w14:textId="77777777" w:rsidR="00C43C66" w:rsidRDefault="00000000">
            <w:r>
              <w:t>82.34%</w:t>
            </w:r>
          </w:p>
        </w:tc>
      </w:tr>
      <w:tr w:rsidR="00C43C66" w14:paraId="69AD69A3" w14:textId="77777777">
        <w:tc>
          <w:tcPr>
            <w:tcW w:w="2436" w:type="dxa"/>
          </w:tcPr>
          <w:p w14:paraId="41C6C7DE" w14:textId="77777777" w:rsidR="00C43C66" w:rsidRDefault="00000000">
            <w:r>
              <w:t>15</w:t>
            </w:r>
          </w:p>
        </w:tc>
        <w:tc>
          <w:tcPr>
            <w:tcW w:w="2436" w:type="dxa"/>
          </w:tcPr>
          <w:p w14:paraId="01EE6957" w14:textId="77777777" w:rsidR="00C43C66" w:rsidRDefault="00000000">
            <w:r>
              <w:t>Grasas y aceites animales o vegetales</w:t>
            </w:r>
          </w:p>
        </w:tc>
        <w:tc>
          <w:tcPr>
            <w:tcW w:w="2436" w:type="dxa"/>
          </w:tcPr>
          <w:p w14:paraId="324BF258" w14:textId="77777777" w:rsidR="00C43C66" w:rsidRDefault="00000000">
            <w:r>
              <w:t>USD 30,617,224.08</w:t>
            </w:r>
          </w:p>
        </w:tc>
        <w:tc>
          <w:tcPr>
            <w:tcW w:w="2436" w:type="dxa"/>
          </w:tcPr>
          <w:p w14:paraId="269CD53E" w14:textId="77777777" w:rsidR="00C43C66" w:rsidRDefault="00000000">
            <w:r>
              <w:t>16.82%</w:t>
            </w:r>
          </w:p>
        </w:tc>
      </w:tr>
      <w:tr w:rsidR="00C43C66" w14:paraId="3F5A04CB" w14:textId="77777777">
        <w:tc>
          <w:tcPr>
            <w:tcW w:w="2436" w:type="dxa"/>
          </w:tcPr>
          <w:p w14:paraId="3CBA824F" w14:textId="77777777" w:rsidR="00C43C66" w:rsidRDefault="00000000">
            <w:r>
              <w:t>44</w:t>
            </w:r>
          </w:p>
        </w:tc>
        <w:tc>
          <w:tcPr>
            <w:tcW w:w="2436" w:type="dxa"/>
          </w:tcPr>
          <w:p w14:paraId="5A25E059" w14:textId="77777777" w:rsidR="00C43C66" w:rsidRDefault="00000000">
            <w:r>
              <w:t>Madera, carbón vegetal y manufacturas de madera</w:t>
            </w:r>
          </w:p>
        </w:tc>
        <w:tc>
          <w:tcPr>
            <w:tcW w:w="2436" w:type="dxa"/>
          </w:tcPr>
          <w:p w14:paraId="7A1C9364" w14:textId="77777777" w:rsidR="00C43C66" w:rsidRDefault="00000000">
            <w:r>
              <w:t>USD 22,966,550.15</w:t>
            </w:r>
          </w:p>
        </w:tc>
        <w:tc>
          <w:tcPr>
            <w:tcW w:w="2436" w:type="dxa"/>
          </w:tcPr>
          <w:p w14:paraId="354F5419" w14:textId="77777777" w:rsidR="00C43C66" w:rsidRDefault="00000000">
            <w:r>
              <w:t>27.34%</w:t>
            </w:r>
          </w:p>
        </w:tc>
      </w:tr>
      <w:tr w:rsidR="00C43C66" w14:paraId="23144D82" w14:textId="77777777">
        <w:tc>
          <w:tcPr>
            <w:tcW w:w="2436" w:type="dxa"/>
          </w:tcPr>
          <w:p w14:paraId="7B76C50C" w14:textId="77777777" w:rsidR="00C43C66" w:rsidRDefault="00000000">
            <w:r>
              <w:t>39</w:t>
            </w:r>
          </w:p>
        </w:tc>
        <w:tc>
          <w:tcPr>
            <w:tcW w:w="2436" w:type="dxa"/>
          </w:tcPr>
          <w:p w14:paraId="16724D61" w14:textId="77777777" w:rsidR="00C43C66" w:rsidRDefault="00000000">
            <w:r>
              <w:t>Plásticos y sus manufacturas</w:t>
            </w:r>
          </w:p>
        </w:tc>
        <w:tc>
          <w:tcPr>
            <w:tcW w:w="2436" w:type="dxa"/>
          </w:tcPr>
          <w:p w14:paraId="3A0F4AFF" w14:textId="77777777" w:rsidR="00C43C66" w:rsidRDefault="00000000">
            <w:r>
              <w:t>USD 10,728,460.93</w:t>
            </w:r>
          </w:p>
        </w:tc>
        <w:tc>
          <w:tcPr>
            <w:tcW w:w="2436" w:type="dxa"/>
          </w:tcPr>
          <w:p w14:paraId="77BCDA6C" w14:textId="77777777" w:rsidR="00C43C66" w:rsidRDefault="00000000">
            <w:r>
              <w:t>1.67%</w:t>
            </w:r>
          </w:p>
        </w:tc>
      </w:tr>
      <w:tr w:rsidR="00C43C66" w14:paraId="4547BBF3" w14:textId="77777777">
        <w:tc>
          <w:tcPr>
            <w:tcW w:w="2436" w:type="dxa"/>
          </w:tcPr>
          <w:p w14:paraId="5CEE39D5" w14:textId="77777777" w:rsidR="00C43C66" w:rsidRDefault="00000000">
            <w:r>
              <w:t>73</w:t>
            </w:r>
          </w:p>
        </w:tc>
        <w:tc>
          <w:tcPr>
            <w:tcW w:w="2436" w:type="dxa"/>
          </w:tcPr>
          <w:p w14:paraId="3A2D96C4" w14:textId="77777777" w:rsidR="00C43C66" w:rsidRDefault="00000000">
            <w:r>
              <w:t>Manufacturas de fundición, hierro o acero</w:t>
            </w:r>
          </w:p>
        </w:tc>
        <w:tc>
          <w:tcPr>
            <w:tcW w:w="2436" w:type="dxa"/>
          </w:tcPr>
          <w:p w14:paraId="01FDB6BF" w14:textId="77777777" w:rsidR="00C43C66" w:rsidRDefault="00000000">
            <w:r>
              <w:t>USD 9,117,988.60</w:t>
            </w:r>
          </w:p>
        </w:tc>
        <w:tc>
          <w:tcPr>
            <w:tcW w:w="2436" w:type="dxa"/>
          </w:tcPr>
          <w:p w14:paraId="7D58732F" w14:textId="77777777" w:rsidR="00C43C66" w:rsidRDefault="00000000">
            <w:r>
              <w:t>3.82%</w:t>
            </w:r>
          </w:p>
        </w:tc>
      </w:tr>
      <w:tr w:rsidR="00C43C66" w14:paraId="3AECFCAE" w14:textId="77777777">
        <w:tc>
          <w:tcPr>
            <w:tcW w:w="2436" w:type="dxa"/>
          </w:tcPr>
          <w:p w14:paraId="6C023D01" w14:textId="77777777" w:rsidR="00C43C66" w:rsidRDefault="00000000">
            <w:r>
              <w:t>23</w:t>
            </w:r>
          </w:p>
        </w:tc>
        <w:tc>
          <w:tcPr>
            <w:tcW w:w="2436" w:type="dxa"/>
          </w:tcPr>
          <w:p w14:paraId="2CEB4680" w14:textId="77777777" w:rsidR="00C43C66" w:rsidRDefault="00000000">
            <w:r>
              <w:t>Residuos y desperdicios de las industrias alimentarias; alimentos para animales</w:t>
            </w:r>
          </w:p>
        </w:tc>
        <w:tc>
          <w:tcPr>
            <w:tcW w:w="2436" w:type="dxa"/>
          </w:tcPr>
          <w:p w14:paraId="58FC6F25" w14:textId="77777777" w:rsidR="00C43C66" w:rsidRDefault="00000000">
            <w:r>
              <w:t>USD 6,265,325.34</w:t>
            </w:r>
          </w:p>
        </w:tc>
        <w:tc>
          <w:tcPr>
            <w:tcW w:w="2436" w:type="dxa"/>
          </w:tcPr>
          <w:p w14:paraId="6740C5B1" w14:textId="77777777" w:rsidR="00C43C66" w:rsidRDefault="00000000">
            <w:r>
              <w:t>1.65%</w:t>
            </w:r>
          </w:p>
        </w:tc>
      </w:tr>
      <w:tr w:rsidR="00C43C66" w14:paraId="03CFA2AC" w14:textId="77777777">
        <w:tc>
          <w:tcPr>
            <w:tcW w:w="2436" w:type="dxa"/>
          </w:tcPr>
          <w:p w14:paraId="30A66FD6" w14:textId="77777777" w:rsidR="00C43C66" w:rsidRDefault="00000000">
            <w:r>
              <w:t>21</w:t>
            </w:r>
          </w:p>
        </w:tc>
        <w:tc>
          <w:tcPr>
            <w:tcW w:w="2436" w:type="dxa"/>
          </w:tcPr>
          <w:p w14:paraId="7C1D294C" w14:textId="77777777" w:rsidR="00C43C66" w:rsidRDefault="00000000">
            <w:r>
              <w:t>Preparaciones alimenticias diversas</w:t>
            </w:r>
          </w:p>
        </w:tc>
        <w:tc>
          <w:tcPr>
            <w:tcW w:w="2436" w:type="dxa"/>
          </w:tcPr>
          <w:p w14:paraId="05C65088" w14:textId="77777777" w:rsidR="00C43C66" w:rsidRDefault="00000000">
            <w:r>
              <w:t>USD 6,262,196.49</w:t>
            </w:r>
          </w:p>
        </w:tc>
        <w:tc>
          <w:tcPr>
            <w:tcW w:w="2436" w:type="dxa"/>
          </w:tcPr>
          <w:p w14:paraId="240C3811" w14:textId="77777777" w:rsidR="00C43C66" w:rsidRDefault="00000000">
            <w:r>
              <w:t>5.88%</w:t>
            </w:r>
          </w:p>
        </w:tc>
      </w:tr>
      <w:tr w:rsidR="00C43C66" w14:paraId="652469DB" w14:textId="77777777">
        <w:tc>
          <w:tcPr>
            <w:tcW w:w="2436" w:type="dxa"/>
          </w:tcPr>
          <w:p w14:paraId="4FA04054" w14:textId="77777777" w:rsidR="00C43C66" w:rsidRDefault="00000000">
            <w:r>
              <w:t>48</w:t>
            </w:r>
          </w:p>
        </w:tc>
        <w:tc>
          <w:tcPr>
            <w:tcW w:w="2436" w:type="dxa"/>
          </w:tcPr>
          <w:p w14:paraId="51D0B7EC" w14:textId="77777777" w:rsidR="00C43C66" w:rsidRDefault="00000000">
            <w:r>
              <w:t>Papel y cartón; manufacturas de pasta de celulosa, papel o cartón</w:t>
            </w:r>
          </w:p>
        </w:tc>
        <w:tc>
          <w:tcPr>
            <w:tcW w:w="2436" w:type="dxa"/>
          </w:tcPr>
          <w:p w14:paraId="4F2CB7AB" w14:textId="77777777" w:rsidR="00C43C66" w:rsidRDefault="00000000">
            <w:r>
              <w:t>USD 5,815,598.71</w:t>
            </w:r>
          </w:p>
        </w:tc>
        <w:tc>
          <w:tcPr>
            <w:tcW w:w="2436" w:type="dxa"/>
          </w:tcPr>
          <w:p w14:paraId="018EFA49" w14:textId="77777777" w:rsidR="00C43C66" w:rsidRDefault="00000000">
            <w:r>
              <w:t>3.73%</w:t>
            </w:r>
          </w:p>
        </w:tc>
      </w:tr>
    </w:tbl>
    <w:p w14:paraId="40FDDE43" w14:textId="77777777" w:rsidR="00C43C66" w:rsidRDefault="00000000">
      <w:pPr>
        <w:pStyle w:val="Ttulo2"/>
      </w:pPr>
      <w:r>
        <w:t>5.4 Colombia: exportaciones hacia Ecuador</w:t>
      </w:r>
    </w:p>
    <w:p w14:paraId="66447E43" w14:textId="77777777" w:rsidR="00C43C66" w:rsidRDefault="00000000">
      <w:r>
        <w:t>La exposición exportadora de Colombia hacia Ecuador disminuye en el segundo periodo; sin embargo, persisten capítulos donde Ecuador conserva un peso relevante como destino.</w:t>
      </w:r>
    </w:p>
    <w:p w14:paraId="6CACCCF1" w14:textId="77777777" w:rsidR="00C43C66" w:rsidRDefault="00000000">
      <w:pPr>
        <w:pStyle w:val="Citadestacada"/>
      </w:pPr>
      <w:r>
        <w:t>Capítulos con mayor dependencia bilateral en el segundo periodo:</w:t>
      </w:r>
    </w:p>
    <w:tbl>
      <w:tblPr>
        <w:tblStyle w:val="Tablaconcuadrcula"/>
        <w:tblW w:w="0" w:type="auto"/>
        <w:tblLook w:val="04A0" w:firstRow="1" w:lastRow="0" w:firstColumn="1" w:lastColumn="0" w:noHBand="0" w:noVBand="1"/>
      </w:tblPr>
      <w:tblGrid>
        <w:gridCol w:w="2436"/>
        <w:gridCol w:w="2436"/>
        <w:gridCol w:w="2436"/>
        <w:gridCol w:w="2436"/>
      </w:tblGrid>
      <w:tr w:rsidR="00C43C66" w14:paraId="5F652E95" w14:textId="77777777">
        <w:tc>
          <w:tcPr>
            <w:tcW w:w="2436" w:type="dxa"/>
          </w:tcPr>
          <w:p w14:paraId="3C3F3C60" w14:textId="77777777" w:rsidR="00C43C66" w:rsidRDefault="00000000">
            <w:r>
              <w:t>Capítulo</w:t>
            </w:r>
          </w:p>
        </w:tc>
        <w:tc>
          <w:tcPr>
            <w:tcW w:w="2436" w:type="dxa"/>
          </w:tcPr>
          <w:p w14:paraId="60FC0E68" w14:textId="77777777" w:rsidR="00C43C66" w:rsidRDefault="00000000">
            <w:r>
              <w:t>Descripción</w:t>
            </w:r>
          </w:p>
        </w:tc>
        <w:tc>
          <w:tcPr>
            <w:tcW w:w="2436" w:type="dxa"/>
          </w:tcPr>
          <w:p w14:paraId="40C19C53" w14:textId="77777777" w:rsidR="00C43C66" w:rsidRDefault="00000000">
            <w:r>
              <w:t>USD bilateral P2</w:t>
            </w:r>
          </w:p>
        </w:tc>
        <w:tc>
          <w:tcPr>
            <w:tcW w:w="2436" w:type="dxa"/>
          </w:tcPr>
          <w:p w14:paraId="5E96EF3F" w14:textId="77777777" w:rsidR="00C43C66" w:rsidRDefault="00000000">
            <w:r>
              <w:t>% bilateral P2</w:t>
            </w:r>
          </w:p>
        </w:tc>
      </w:tr>
      <w:tr w:rsidR="00C43C66" w14:paraId="0019E027" w14:textId="77777777">
        <w:tc>
          <w:tcPr>
            <w:tcW w:w="2436" w:type="dxa"/>
          </w:tcPr>
          <w:p w14:paraId="47B8FD25" w14:textId="77777777" w:rsidR="00C43C66" w:rsidRDefault="00000000">
            <w:r>
              <w:t>36</w:t>
            </w:r>
          </w:p>
        </w:tc>
        <w:tc>
          <w:tcPr>
            <w:tcW w:w="2436" w:type="dxa"/>
          </w:tcPr>
          <w:p w14:paraId="1ED44750" w14:textId="77777777" w:rsidR="00C43C66" w:rsidRDefault="00000000">
            <w:r>
              <w:t xml:space="preserve">Pólvoras y explosivos; </w:t>
            </w:r>
            <w:r>
              <w:lastRenderedPageBreak/>
              <w:t>artículos de pirotecnia; fósforos</w:t>
            </w:r>
          </w:p>
        </w:tc>
        <w:tc>
          <w:tcPr>
            <w:tcW w:w="2436" w:type="dxa"/>
          </w:tcPr>
          <w:p w14:paraId="50C09DDB" w14:textId="77777777" w:rsidR="00C43C66" w:rsidRDefault="00000000">
            <w:r>
              <w:lastRenderedPageBreak/>
              <w:t>USD 714,168.00</w:t>
            </w:r>
          </w:p>
        </w:tc>
        <w:tc>
          <w:tcPr>
            <w:tcW w:w="2436" w:type="dxa"/>
          </w:tcPr>
          <w:p w14:paraId="0874B394" w14:textId="77777777" w:rsidR="00C43C66" w:rsidRDefault="00000000">
            <w:r>
              <w:t>99.39%</w:t>
            </w:r>
          </w:p>
        </w:tc>
      </w:tr>
      <w:tr w:rsidR="00C43C66" w14:paraId="5D3B01FF" w14:textId="77777777">
        <w:tc>
          <w:tcPr>
            <w:tcW w:w="2436" w:type="dxa"/>
          </w:tcPr>
          <w:p w14:paraId="7BB8F229" w14:textId="77777777" w:rsidR="00C43C66" w:rsidRDefault="00000000">
            <w:r>
              <w:t>45</w:t>
            </w:r>
          </w:p>
        </w:tc>
        <w:tc>
          <w:tcPr>
            <w:tcW w:w="2436" w:type="dxa"/>
          </w:tcPr>
          <w:p w14:paraId="012EFF5E" w14:textId="77777777" w:rsidR="00C43C66" w:rsidRDefault="00000000">
            <w:r>
              <w:t>Corcho y sus manufacturas</w:t>
            </w:r>
          </w:p>
        </w:tc>
        <w:tc>
          <w:tcPr>
            <w:tcW w:w="2436" w:type="dxa"/>
          </w:tcPr>
          <w:p w14:paraId="03076CA1" w14:textId="77777777" w:rsidR="00C43C66" w:rsidRDefault="00000000">
            <w:r>
              <w:t>USD 1,771.55</w:t>
            </w:r>
          </w:p>
        </w:tc>
        <w:tc>
          <w:tcPr>
            <w:tcW w:w="2436" w:type="dxa"/>
          </w:tcPr>
          <w:p w14:paraId="4EDF07CC" w14:textId="77777777" w:rsidR="00C43C66" w:rsidRDefault="00000000">
            <w:r>
              <w:t>81.59%</w:t>
            </w:r>
          </w:p>
        </w:tc>
      </w:tr>
      <w:tr w:rsidR="00C43C66" w14:paraId="4DD0BA12" w14:textId="77777777">
        <w:tc>
          <w:tcPr>
            <w:tcW w:w="2436" w:type="dxa"/>
          </w:tcPr>
          <w:p w14:paraId="3BC87FE9" w14:textId="77777777" w:rsidR="00C43C66" w:rsidRDefault="00000000">
            <w:r>
              <w:t>65</w:t>
            </w:r>
          </w:p>
        </w:tc>
        <w:tc>
          <w:tcPr>
            <w:tcW w:w="2436" w:type="dxa"/>
          </w:tcPr>
          <w:p w14:paraId="15DFD32E" w14:textId="77777777" w:rsidR="00C43C66" w:rsidRDefault="00000000">
            <w:r>
              <w:t>Sombreros y demás tocados</w:t>
            </w:r>
          </w:p>
        </w:tc>
        <w:tc>
          <w:tcPr>
            <w:tcW w:w="2436" w:type="dxa"/>
          </w:tcPr>
          <w:p w14:paraId="46B554C4" w14:textId="77777777" w:rsidR="00C43C66" w:rsidRDefault="00000000">
            <w:r>
              <w:t>USD 2,633,056.46</w:t>
            </w:r>
          </w:p>
        </w:tc>
        <w:tc>
          <w:tcPr>
            <w:tcW w:w="2436" w:type="dxa"/>
          </w:tcPr>
          <w:p w14:paraId="3581C0DD" w14:textId="77777777" w:rsidR="00C43C66" w:rsidRDefault="00000000">
            <w:r>
              <w:t>40.22%</w:t>
            </w:r>
          </w:p>
        </w:tc>
      </w:tr>
      <w:tr w:rsidR="00C43C66" w14:paraId="4EF0B633" w14:textId="77777777">
        <w:tc>
          <w:tcPr>
            <w:tcW w:w="2436" w:type="dxa"/>
          </w:tcPr>
          <w:p w14:paraId="5B7F31EF" w14:textId="77777777" w:rsidR="00C43C66" w:rsidRDefault="00000000">
            <w:r>
              <w:t>52</w:t>
            </w:r>
          </w:p>
        </w:tc>
        <w:tc>
          <w:tcPr>
            <w:tcW w:w="2436" w:type="dxa"/>
          </w:tcPr>
          <w:p w14:paraId="39AB7F28" w14:textId="77777777" w:rsidR="00C43C66" w:rsidRDefault="00000000">
            <w:r>
              <w:t>Algodón</w:t>
            </w:r>
          </w:p>
        </w:tc>
        <w:tc>
          <w:tcPr>
            <w:tcW w:w="2436" w:type="dxa"/>
          </w:tcPr>
          <w:p w14:paraId="0339F980" w14:textId="77777777" w:rsidR="00C43C66" w:rsidRDefault="00000000">
            <w:r>
              <w:t>USD 761,513.79</w:t>
            </w:r>
          </w:p>
        </w:tc>
        <w:tc>
          <w:tcPr>
            <w:tcW w:w="2436" w:type="dxa"/>
          </w:tcPr>
          <w:p w14:paraId="6225606A" w14:textId="77777777" w:rsidR="00C43C66" w:rsidRDefault="00000000">
            <w:r>
              <w:t>34.50%</w:t>
            </w:r>
          </w:p>
        </w:tc>
      </w:tr>
      <w:tr w:rsidR="00C43C66" w14:paraId="071E8068" w14:textId="77777777">
        <w:tc>
          <w:tcPr>
            <w:tcW w:w="2436" w:type="dxa"/>
          </w:tcPr>
          <w:p w14:paraId="038A9E65" w14:textId="77777777" w:rsidR="00C43C66" w:rsidRDefault="00000000">
            <w:r>
              <w:t>31</w:t>
            </w:r>
          </w:p>
        </w:tc>
        <w:tc>
          <w:tcPr>
            <w:tcW w:w="2436" w:type="dxa"/>
          </w:tcPr>
          <w:p w14:paraId="77EB3053" w14:textId="77777777" w:rsidR="00C43C66" w:rsidRDefault="00000000">
            <w:r>
              <w:t>Abonos</w:t>
            </w:r>
          </w:p>
        </w:tc>
        <w:tc>
          <w:tcPr>
            <w:tcW w:w="2436" w:type="dxa"/>
          </w:tcPr>
          <w:p w14:paraId="14A9E3BB" w14:textId="77777777" w:rsidR="00C43C66" w:rsidRDefault="00000000">
            <w:r>
              <w:t>USD 3,482,430.91</w:t>
            </w:r>
          </w:p>
        </w:tc>
        <w:tc>
          <w:tcPr>
            <w:tcW w:w="2436" w:type="dxa"/>
          </w:tcPr>
          <w:p w14:paraId="54922EE9" w14:textId="77777777" w:rsidR="00C43C66" w:rsidRDefault="00000000">
            <w:r>
              <w:t>26.87%</w:t>
            </w:r>
          </w:p>
        </w:tc>
      </w:tr>
      <w:tr w:rsidR="00C43C66" w14:paraId="6A5D0F68" w14:textId="77777777">
        <w:tc>
          <w:tcPr>
            <w:tcW w:w="2436" w:type="dxa"/>
          </w:tcPr>
          <w:p w14:paraId="3830CE81" w14:textId="77777777" w:rsidR="00C43C66" w:rsidRDefault="00000000">
            <w:r>
              <w:t>23</w:t>
            </w:r>
          </w:p>
        </w:tc>
        <w:tc>
          <w:tcPr>
            <w:tcW w:w="2436" w:type="dxa"/>
          </w:tcPr>
          <w:p w14:paraId="436EF199" w14:textId="77777777" w:rsidR="00C43C66" w:rsidRDefault="00000000">
            <w:r>
              <w:t>Residuos y desperdicios de las industrias alimentarias; alimentos para animales</w:t>
            </w:r>
          </w:p>
        </w:tc>
        <w:tc>
          <w:tcPr>
            <w:tcW w:w="2436" w:type="dxa"/>
          </w:tcPr>
          <w:p w14:paraId="1237400B" w14:textId="77777777" w:rsidR="00C43C66" w:rsidRDefault="00000000">
            <w:r>
              <w:t>USD 7,854,994.54</w:t>
            </w:r>
          </w:p>
        </w:tc>
        <w:tc>
          <w:tcPr>
            <w:tcW w:w="2436" w:type="dxa"/>
          </w:tcPr>
          <w:p w14:paraId="6CA0A815" w14:textId="77777777" w:rsidR="00C43C66" w:rsidRDefault="00000000">
            <w:r>
              <w:t>24.27%</w:t>
            </w:r>
          </w:p>
        </w:tc>
      </w:tr>
      <w:tr w:rsidR="00C43C66" w14:paraId="33808A8D" w14:textId="77777777">
        <w:tc>
          <w:tcPr>
            <w:tcW w:w="2436" w:type="dxa"/>
          </w:tcPr>
          <w:p w14:paraId="0F250AA3" w14:textId="77777777" w:rsidR="00C43C66" w:rsidRDefault="00000000">
            <w:r>
              <w:t>22</w:t>
            </w:r>
          </w:p>
        </w:tc>
        <w:tc>
          <w:tcPr>
            <w:tcW w:w="2436" w:type="dxa"/>
          </w:tcPr>
          <w:p w14:paraId="1B15BA60" w14:textId="77777777" w:rsidR="00C43C66" w:rsidRDefault="00000000">
            <w:r>
              <w:t>Bebidas, líquidos alcohólicos y vinagre</w:t>
            </w:r>
          </w:p>
        </w:tc>
        <w:tc>
          <w:tcPr>
            <w:tcW w:w="2436" w:type="dxa"/>
          </w:tcPr>
          <w:p w14:paraId="2B9BC054" w14:textId="77777777" w:rsidR="00C43C66" w:rsidRDefault="00000000">
            <w:r>
              <w:t>USD 6,368,961.58</w:t>
            </w:r>
          </w:p>
        </w:tc>
        <w:tc>
          <w:tcPr>
            <w:tcW w:w="2436" w:type="dxa"/>
          </w:tcPr>
          <w:p w14:paraId="112E2CFC" w14:textId="77777777" w:rsidR="00C43C66" w:rsidRDefault="00000000">
            <w:r>
              <w:t>23.95%</w:t>
            </w:r>
          </w:p>
        </w:tc>
      </w:tr>
      <w:tr w:rsidR="00C43C66" w14:paraId="6140EA2E" w14:textId="77777777">
        <w:tc>
          <w:tcPr>
            <w:tcW w:w="2436" w:type="dxa"/>
          </w:tcPr>
          <w:p w14:paraId="6550163E" w14:textId="77777777" w:rsidR="00C43C66" w:rsidRDefault="00000000">
            <w:r>
              <w:t>68</w:t>
            </w:r>
          </w:p>
        </w:tc>
        <w:tc>
          <w:tcPr>
            <w:tcW w:w="2436" w:type="dxa"/>
          </w:tcPr>
          <w:p w14:paraId="4C722C41" w14:textId="77777777" w:rsidR="00C43C66" w:rsidRDefault="00000000">
            <w:r>
              <w:t>Manufacturas de piedra, yeso, cemento, amianto, mica o materias análogas</w:t>
            </w:r>
          </w:p>
        </w:tc>
        <w:tc>
          <w:tcPr>
            <w:tcW w:w="2436" w:type="dxa"/>
          </w:tcPr>
          <w:p w14:paraId="53188A63" w14:textId="77777777" w:rsidR="00C43C66" w:rsidRDefault="00000000">
            <w:r>
              <w:t>USD 4,768,364.78</w:t>
            </w:r>
          </w:p>
        </w:tc>
        <w:tc>
          <w:tcPr>
            <w:tcW w:w="2436" w:type="dxa"/>
          </w:tcPr>
          <w:p w14:paraId="6F81CA75" w14:textId="77777777" w:rsidR="00C43C66" w:rsidRDefault="00000000">
            <w:r>
              <w:t>22.60%</w:t>
            </w:r>
          </w:p>
        </w:tc>
      </w:tr>
    </w:tbl>
    <w:p w14:paraId="1264D456" w14:textId="77777777" w:rsidR="00C43C66" w:rsidRDefault="00000000">
      <w:pPr>
        <w:pStyle w:val="Citadestacada"/>
      </w:pPr>
      <w:r>
        <w:t>Capítulos con mayor valor bilateral en el segundo periodo:</w:t>
      </w:r>
    </w:p>
    <w:tbl>
      <w:tblPr>
        <w:tblStyle w:val="Tablaconcuadrcula"/>
        <w:tblW w:w="0" w:type="auto"/>
        <w:tblLook w:val="04A0" w:firstRow="1" w:lastRow="0" w:firstColumn="1" w:lastColumn="0" w:noHBand="0" w:noVBand="1"/>
      </w:tblPr>
      <w:tblGrid>
        <w:gridCol w:w="2436"/>
        <w:gridCol w:w="2436"/>
        <w:gridCol w:w="2436"/>
        <w:gridCol w:w="2436"/>
      </w:tblGrid>
      <w:tr w:rsidR="00C43C66" w14:paraId="3854C2D7" w14:textId="77777777">
        <w:tc>
          <w:tcPr>
            <w:tcW w:w="2436" w:type="dxa"/>
          </w:tcPr>
          <w:p w14:paraId="413290C1" w14:textId="77777777" w:rsidR="00C43C66" w:rsidRDefault="00000000">
            <w:r>
              <w:t>Capítulo</w:t>
            </w:r>
          </w:p>
        </w:tc>
        <w:tc>
          <w:tcPr>
            <w:tcW w:w="2436" w:type="dxa"/>
          </w:tcPr>
          <w:p w14:paraId="4BE807B7" w14:textId="77777777" w:rsidR="00C43C66" w:rsidRDefault="00000000">
            <w:r>
              <w:t>Descripción</w:t>
            </w:r>
          </w:p>
        </w:tc>
        <w:tc>
          <w:tcPr>
            <w:tcW w:w="2436" w:type="dxa"/>
          </w:tcPr>
          <w:p w14:paraId="1F7CDBE3" w14:textId="77777777" w:rsidR="00C43C66" w:rsidRDefault="00000000">
            <w:r>
              <w:t>USD bilateral P2</w:t>
            </w:r>
          </w:p>
        </w:tc>
        <w:tc>
          <w:tcPr>
            <w:tcW w:w="2436" w:type="dxa"/>
          </w:tcPr>
          <w:p w14:paraId="140C563B" w14:textId="77777777" w:rsidR="00C43C66" w:rsidRDefault="00000000">
            <w:r>
              <w:t>% bilateral P2</w:t>
            </w:r>
          </w:p>
        </w:tc>
      </w:tr>
      <w:tr w:rsidR="00C43C66" w14:paraId="1667E54B" w14:textId="77777777">
        <w:tc>
          <w:tcPr>
            <w:tcW w:w="2436" w:type="dxa"/>
          </w:tcPr>
          <w:p w14:paraId="26C38ECB" w14:textId="77777777" w:rsidR="00C43C66" w:rsidRDefault="00000000">
            <w:r>
              <w:t>27</w:t>
            </w:r>
          </w:p>
        </w:tc>
        <w:tc>
          <w:tcPr>
            <w:tcW w:w="2436" w:type="dxa"/>
          </w:tcPr>
          <w:p w14:paraId="3749CFAC" w14:textId="77777777" w:rsidR="00C43C66" w:rsidRDefault="00000000">
            <w:r>
              <w:t>Combustibles minerales, aceites minerales y productos de su destilación</w:t>
            </w:r>
          </w:p>
        </w:tc>
        <w:tc>
          <w:tcPr>
            <w:tcW w:w="2436" w:type="dxa"/>
          </w:tcPr>
          <w:p w14:paraId="25B0CFBB" w14:textId="77777777" w:rsidR="00C43C66" w:rsidRDefault="00000000">
            <w:r>
              <w:t>USD 45,411,329.70</w:t>
            </w:r>
          </w:p>
        </w:tc>
        <w:tc>
          <w:tcPr>
            <w:tcW w:w="2436" w:type="dxa"/>
          </w:tcPr>
          <w:p w14:paraId="0B1DEF09" w14:textId="77777777" w:rsidR="00C43C66" w:rsidRDefault="00000000">
            <w:r>
              <w:t>0.86%</w:t>
            </w:r>
          </w:p>
        </w:tc>
      </w:tr>
      <w:tr w:rsidR="00C43C66" w14:paraId="6437B3E7" w14:textId="77777777">
        <w:tc>
          <w:tcPr>
            <w:tcW w:w="2436" w:type="dxa"/>
          </w:tcPr>
          <w:p w14:paraId="2AD42A7D" w14:textId="77777777" w:rsidR="00C43C66" w:rsidRDefault="00000000">
            <w:r>
              <w:t>33</w:t>
            </w:r>
          </w:p>
        </w:tc>
        <w:tc>
          <w:tcPr>
            <w:tcW w:w="2436" w:type="dxa"/>
          </w:tcPr>
          <w:p w14:paraId="286ED8C0" w14:textId="77777777" w:rsidR="00C43C66" w:rsidRDefault="00000000">
            <w:r>
              <w:t>Aceites esenciales y resinoides; perfumería, cosmética y tocador</w:t>
            </w:r>
          </w:p>
        </w:tc>
        <w:tc>
          <w:tcPr>
            <w:tcW w:w="2436" w:type="dxa"/>
          </w:tcPr>
          <w:p w14:paraId="3F7E0156" w14:textId="77777777" w:rsidR="00C43C66" w:rsidRDefault="00000000">
            <w:r>
              <w:t>USD 42,215,651.71</w:t>
            </w:r>
          </w:p>
        </w:tc>
        <w:tc>
          <w:tcPr>
            <w:tcW w:w="2436" w:type="dxa"/>
          </w:tcPr>
          <w:p w14:paraId="600613EF" w14:textId="77777777" w:rsidR="00C43C66" w:rsidRDefault="00000000">
            <w:r>
              <w:t>17.17%</w:t>
            </w:r>
          </w:p>
        </w:tc>
      </w:tr>
      <w:tr w:rsidR="00C43C66" w14:paraId="5DE017A1" w14:textId="77777777">
        <w:tc>
          <w:tcPr>
            <w:tcW w:w="2436" w:type="dxa"/>
          </w:tcPr>
          <w:p w14:paraId="47FD9D54" w14:textId="77777777" w:rsidR="00C43C66" w:rsidRDefault="00000000">
            <w:r>
              <w:t>38</w:t>
            </w:r>
          </w:p>
        </w:tc>
        <w:tc>
          <w:tcPr>
            <w:tcW w:w="2436" w:type="dxa"/>
          </w:tcPr>
          <w:p w14:paraId="67897562" w14:textId="77777777" w:rsidR="00C43C66" w:rsidRDefault="00000000">
            <w:r>
              <w:t>Productos diversos de las industrias químicas</w:t>
            </w:r>
          </w:p>
        </w:tc>
        <w:tc>
          <w:tcPr>
            <w:tcW w:w="2436" w:type="dxa"/>
          </w:tcPr>
          <w:p w14:paraId="1F691096" w14:textId="77777777" w:rsidR="00C43C66" w:rsidRDefault="00000000">
            <w:r>
              <w:t>USD 32,942,468.76</w:t>
            </w:r>
          </w:p>
        </w:tc>
        <w:tc>
          <w:tcPr>
            <w:tcW w:w="2436" w:type="dxa"/>
          </w:tcPr>
          <w:p w14:paraId="1CAE181F" w14:textId="77777777" w:rsidR="00C43C66" w:rsidRDefault="00000000">
            <w:r>
              <w:t>20.23%</w:t>
            </w:r>
          </w:p>
        </w:tc>
      </w:tr>
      <w:tr w:rsidR="00C43C66" w14:paraId="2292B543" w14:textId="77777777">
        <w:tc>
          <w:tcPr>
            <w:tcW w:w="2436" w:type="dxa"/>
          </w:tcPr>
          <w:p w14:paraId="78F7686E" w14:textId="77777777" w:rsidR="00C43C66" w:rsidRDefault="00000000">
            <w:r>
              <w:t>39</w:t>
            </w:r>
          </w:p>
        </w:tc>
        <w:tc>
          <w:tcPr>
            <w:tcW w:w="2436" w:type="dxa"/>
          </w:tcPr>
          <w:p w14:paraId="466E4836" w14:textId="77777777" w:rsidR="00C43C66" w:rsidRDefault="00000000">
            <w:r>
              <w:t>Plásticos y sus manufacturas</w:t>
            </w:r>
          </w:p>
        </w:tc>
        <w:tc>
          <w:tcPr>
            <w:tcW w:w="2436" w:type="dxa"/>
          </w:tcPr>
          <w:p w14:paraId="0FD50A06" w14:textId="77777777" w:rsidR="00C43C66" w:rsidRDefault="00000000">
            <w:r>
              <w:t>USD 29,317,824.01</w:t>
            </w:r>
          </w:p>
        </w:tc>
        <w:tc>
          <w:tcPr>
            <w:tcW w:w="2436" w:type="dxa"/>
          </w:tcPr>
          <w:p w14:paraId="7AEE49D0" w14:textId="77777777" w:rsidR="00C43C66" w:rsidRDefault="00000000">
            <w:r>
              <w:t>6.37%</w:t>
            </w:r>
          </w:p>
        </w:tc>
      </w:tr>
      <w:tr w:rsidR="00C43C66" w14:paraId="5D56E3FE" w14:textId="77777777">
        <w:tc>
          <w:tcPr>
            <w:tcW w:w="2436" w:type="dxa"/>
          </w:tcPr>
          <w:p w14:paraId="71409930" w14:textId="77777777" w:rsidR="00C43C66" w:rsidRDefault="00000000">
            <w:r>
              <w:t>30</w:t>
            </w:r>
          </w:p>
        </w:tc>
        <w:tc>
          <w:tcPr>
            <w:tcW w:w="2436" w:type="dxa"/>
          </w:tcPr>
          <w:p w14:paraId="5641BC13" w14:textId="77777777" w:rsidR="00C43C66" w:rsidRDefault="00000000">
            <w:r>
              <w:t>Productos farmacéuticos</w:t>
            </w:r>
          </w:p>
        </w:tc>
        <w:tc>
          <w:tcPr>
            <w:tcW w:w="2436" w:type="dxa"/>
          </w:tcPr>
          <w:p w14:paraId="32D905A3" w14:textId="77777777" w:rsidR="00C43C66" w:rsidRDefault="00000000">
            <w:r>
              <w:t>USD 28,244,701.53</w:t>
            </w:r>
          </w:p>
        </w:tc>
        <w:tc>
          <w:tcPr>
            <w:tcW w:w="2436" w:type="dxa"/>
          </w:tcPr>
          <w:p w14:paraId="4ABA04CC" w14:textId="77777777" w:rsidR="00C43C66" w:rsidRDefault="00000000">
            <w:r>
              <w:t>17.90%</w:t>
            </w:r>
          </w:p>
        </w:tc>
      </w:tr>
      <w:tr w:rsidR="00C43C66" w14:paraId="42FBD9EB" w14:textId="77777777">
        <w:tc>
          <w:tcPr>
            <w:tcW w:w="2436" w:type="dxa"/>
          </w:tcPr>
          <w:p w14:paraId="697577F7" w14:textId="77777777" w:rsidR="00C43C66" w:rsidRDefault="00000000">
            <w:r>
              <w:t>85</w:t>
            </w:r>
          </w:p>
        </w:tc>
        <w:tc>
          <w:tcPr>
            <w:tcW w:w="2436" w:type="dxa"/>
          </w:tcPr>
          <w:p w14:paraId="5A881FC3" w14:textId="77777777" w:rsidR="00C43C66" w:rsidRDefault="00000000">
            <w:r>
              <w:t>Máquinas, aparatos y material eléctrico; sus partes</w:t>
            </w:r>
          </w:p>
        </w:tc>
        <w:tc>
          <w:tcPr>
            <w:tcW w:w="2436" w:type="dxa"/>
          </w:tcPr>
          <w:p w14:paraId="33375E4C" w14:textId="77777777" w:rsidR="00C43C66" w:rsidRDefault="00000000">
            <w:r>
              <w:t>USD 21,818,272.09</w:t>
            </w:r>
          </w:p>
        </w:tc>
        <w:tc>
          <w:tcPr>
            <w:tcW w:w="2436" w:type="dxa"/>
          </w:tcPr>
          <w:p w14:paraId="6E295702" w14:textId="77777777" w:rsidR="00C43C66" w:rsidRDefault="00000000">
            <w:r>
              <w:t>9.27%</w:t>
            </w:r>
          </w:p>
        </w:tc>
      </w:tr>
      <w:tr w:rsidR="00C43C66" w14:paraId="0DF594D7" w14:textId="77777777">
        <w:tc>
          <w:tcPr>
            <w:tcW w:w="2436" w:type="dxa"/>
          </w:tcPr>
          <w:p w14:paraId="52E3DF51" w14:textId="77777777" w:rsidR="00C43C66" w:rsidRDefault="00000000">
            <w:r>
              <w:t>34</w:t>
            </w:r>
          </w:p>
        </w:tc>
        <w:tc>
          <w:tcPr>
            <w:tcW w:w="2436" w:type="dxa"/>
          </w:tcPr>
          <w:p w14:paraId="0AFB0331" w14:textId="77777777" w:rsidR="00C43C66" w:rsidRDefault="00000000">
            <w:r>
              <w:t>Jabón, agentes de superficie orgánicos, preparaciones para lavar, ceras artificiales</w:t>
            </w:r>
          </w:p>
        </w:tc>
        <w:tc>
          <w:tcPr>
            <w:tcW w:w="2436" w:type="dxa"/>
          </w:tcPr>
          <w:p w14:paraId="5AB61D54" w14:textId="77777777" w:rsidR="00C43C66" w:rsidRDefault="00000000">
            <w:r>
              <w:t>USD 17,672,239.84</w:t>
            </w:r>
          </w:p>
        </w:tc>
        <w:tc>
          <w:tcPr>
            <w:tcW w:w="2436" w:type="dxa"/>
          </w:tcPr>
          <w:p w14:paraId="17901801" w14:textId="77777777" w:rsidR="00C43C66" w:rsidRDefault="00000000">
            <w:r>
              <w:t>20.10%</w:t>
            </w:r>
          </w:p>
        </w:tc>
      </w:tr>
      <w:tr w:rsidR="00C43C66" w14:paraId="27EA514F" w14:textId="77777777">
        <w:tc>
          <w:tcPr>
            <w:tcW w:w="2436" w:type="dxa"/>
          </w:tcPr>
          <w:p w14:paraId="215BB19B" w14:textId="77777777" w:rsidR="00C43C66" w:rsidRDefault="00000000">
            <w:r>
              <w:t>84</w:t>
            </w:r>
          </w:p>
        </w:tc>
        <w:tc>
          <w:tcPr>
            <w:tcW w:w="2436" w:type="dxa"/>
          </w:tcPr>
          <w:p w14:paraId="55B9554F" w14:textId="77777777" w:rsidR="00C43C66" w:rsidRDefault="00000000">
            <w:r>
              <w:t>Reactores nucleares, calderas, máquinas, aparatos y artefactos mecánicos</w:t>
            </w:r>
          </w:p>
        </w:tc>
        <w:tc>
          <w:tcPr>
            <w:tcW w:w="2436" w:type="dxa"/>
          </w:tcPr>
          <w:p w14:paraId="420A94E9" w14:textId="77777777" w:rsidR="00C43C66" w:rsidRDefault="00000000">
            <w:r>
              <w:t>USD 17,222,381.11</w:t>
            </w:r>
          </w:p>
        </w:tc>
        <w:tc>
          <w:tcPr>
            <w:tcW w:w="2436" w:type="dxa"/>
          </w:tcPr>
          <w:p w14:paraId="2AFF86FD" w14:textId="77777777" w:rsidR="00C43C66" w:rsidRDefault="00000000">
            <w:r>
              <w:t>14.17%</w:t>
            </w:r>
          </w:p>
        </w:tc>
      </w:tr>
    </w:tbl>
    <w:p w14:paraId="633DFC6B" w14:textId="77777777" w:rsidR="00C43C66" w:rsidRDefault="00000000">
      <w:pPr>
        <w:pStyle w:val="Ttulo1"/>
      </w:pPr>
      <w:r>
        <w:lastRenderedPageBreak/>
        <w:t>6. Lectura estratégica ante un eventual rompimiento bilateral</w:t>
      </w:r>
    </w:p>
    <w:p w14:paraId="5C0981F7" w14:textId="77777777" w:rsidR="00C43C66" w:rsidRDefault="00000000">
      <w:r>
        <w:t>Desde una perspectiva agregada, el principal frente de atención es el abastecimiento de Ecuador. Aunque la exposición importadora cae en el segundo periodo, sigue siendo el componente bilateral de mayor peso dentro del conjunto analizado.</w:t>
      </w:r>
    </w:p>
    <w:p w14:paraId="73CBCC8D" w14:textId="77777777" w:rsidR="00C43C66" w:rsidRDefault="00000000">
      <w:r>
        <w:t>Para Ecuador exportador, el riesgo es más selectivo que macroeconómico. Colombia no domina el total de exportaciones ecuatorianas, pero sí resulta muy relevante en ciertos capítulos específicos.</w:t>
      </w:r>
    </w:p>
    <w:p w14:paraId="6C7325AC" w14:textId="77777777" w:rsidR="00C43C66" w:rsidRDefault="00000000">
      <w:r>
        <w:t>Para Colombia, el vínculo con Ecuador luce más manejable en términos agregados. No obstante, varios capítulos mantienen concentraciones sectoriales que conviene monitorear, especialmente cuando se combinan dependencia alta y valor bilateral significativo.</w:t>
      </w:r>
    </w:p>
    <w:p w14:paraId="1879196B" w14:textId="77777777" w:rsidR="00C43C66" w:rsidRDefault="00000000">
      <w:r>
        <w:t>En un escenario de ruptura, la gestión pública y privada no debería partir de una lectura uniforme. La respuesta óptima es capítulo por capítulo, diferenciando abastecimiento, sustitución de proveedores y diversificación de destinos.</w:t>
      </w:r>
    </w:p>
    <w:p w14:paraId="78D0E0EE" w14:textId="77777777" w:rsidR="00C43C66" w:rsidRDefault="00000000">
      <w:pPr>
        <w:pStyle w:val="Ttulo1"/>
      </w:pPr>
      <w:r>
        <w:t>7. Recomendaciones para la fase siguiente</w:t>
      </w:r>
    </w:p>
    <w:p w14:paraId="0051FA1C" w14:textId="77777777" w:rsidR="00C43C66" w:rsidRDefault="00000000">
      <w:pPr>
        <w:pStyle w:val="Listaconnmeros"/>
      </w:pPr>
      <w:r>
        <w:t>Cruzar los resultados con la descripción oficial del arancel y validar, dentro de cada capítulo crítico, cuáles son las subpartidas realmente determinantes.</w:t>
      </w:r>
    </w:p>
    <w:p w14:paraId="63F4AA29" w14:textId="77777777" w:rsidR="00C43C66" w:rsidRDefault="00000000">
      <w:pPr>
        <w:pStyle w:val="Listaconnmeros"/>
      </w:pPr>
      <w:r>
        <w:t>Incorporar una matriz de sustitución: para importaciones, identificar proveedores alternativos; para exportaciones, mercados alternativos.</w:t>
      </w:r>
    </w:p>
    <w:p w14:paraId="3C30C442" w14:textId="77777777" w:rsidR="00C43C66" w:rsidRDefault="00000000">
      <w:pPr>
        <w:pStyle w:val="Listaconnmeros"/>
      </w:pPr>
      <w:r>
        <w:t>Separar capítulos críticos por tres criterios: dependencia alta, materialidad alta y crecimiento reciente de la exposición.</w:t>
      </w:r>
    </w:p>
    <w:p w14:paraId="35E5E647" w14:textId="77777777" w:rsidR="00C43C66" w:rsidRDefault="00000000">
      <w:pPr>
        <w:pStyle w:val="Listaconnmeros"/>
      </w:pPr>
      <w:r>
        <w:t>Complementar el análisis en valor con una lectura en kilos netos para distinguir riesgo económico de riesgo logístico o de abastecimiento físico.</w:t>
      </w:r>
    </w:p>
    <w:p w14:paraId="4FC00483" w14:textId="77777777" w:rsidR="00C43C66" w:rsidRDefault="00000000">
      <w:pPr>
        <w:pStyle w:val="Listaconnmeros"/>
      </w:pPr>
      <w:r>
        <w:t>Preparar una ficha ejecutiva por capítulo crítico con cuatro datos mínimos: valor bilateral, participación bilateral, proveedores o destinos alternativos y tendencia entre periodos.</w:t>
      </w:r>
    </w:p>
    <w:p w14:paraId="147A03D0" w14:textId="77777777" w:rsidR="00C43C66" w:rsidRDefault="00000000">
      <w:pPr>
        <w:pStyle w:val="Ttulo1"/>
      </w:pPr>
      <w:r>
        <w:t>8. Conclusión</w:t>
      </w:r>
    </w:p>
    <w:p w14:paraId="27F0FD75" w14:textId="77777777" w:rsidR="00C43C66" w:rsidRDefault="00000000">
      <w:r>
        <w:t>La evidencia disponible sugiere que la relación Ecuador–Colombia es relevante, pero asimétrica. El mayor nivel de exposición agregada se encuentra en las importaciones ecuatorianas desde Colombia. En cambio, las demás dimensiones del vínculo muestran niveles de exposición más acotados, aunque con capítulos puntuales de alta sensibilidad. Por ello, la eventual afectación de una ruptura bilateral no sería homogénea: recaería con mayor fuerza en sectores específicos, y requeriría respuestas diferenciadas por flujo y por capítulo arancelario.</w:t>
      </w:r>
    </w:p>
    <w:p w14:paraId="63384280" w14:textId="77777777" w:rsidR="00C43C66" w:rsidRDefault="00000000">
      <w:pPr>
        <w:jc w:val="right"/>
      </w:pPr>
      <w:r>
        <w:rPr>
          <w:i/>
        </w:rPr>
        <w:t>Elaborado con base en el consolidado EC–CO_DIC-FEB y la tabla ejecutiva generada para el análisis.</w:t>
      </w:r>
    </w:p>
    <w:sectPr w:rsidR="00C43C66" w:rsidSect="00034616">
      <w:headerReference w:type="default" r:id="rId8"/>
      <w:pgSz w:w="12240" w:h="15840"/>
      <w:pgMar w:top="1247" w:right="1247" w:bottom="124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B7BF" w14:textId="77777777" w:rsidR="00F45C81" w:rsidRDefault="00F45C81" w:rsidP="00771FCA">
      <w:pPr>
        <w:spacing w:after="0" w:line="240" w:lineRule="auto"/>
      </w:pPr>
      <w:r>
        <w:separator/>
      </w:r>
    </w:p>
  </w:endnote>
  <w:endnote w:type="continuationSeparator" w:id="0">
    <w:p w14:paraId="01EE43B7" w14:textId="77777777" w:rsidR="00F45C81" w:rsidRDefault="00F45C81" w:rsidP="0077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234C" w14:textId="77777777" w:rsidR="00F45C81" w:rsidRDefault="00F45C81" w:rsidP="00771FCA">
      <w:pPr>
        <w:spacing w:after="0" w:line="240" w:lineRule="auto"/>
      </w:pPr>
      <w:r>
        <w:separator/>
      </w:r>
    </w:p>
  </w:footnote>
  <w:footnote w:type="continuationSeparator" w:id="0">
    <w:p w14:paraId="042A9B9D" w14:textId="77777777" w:rsidR="00F45C81" w:rsidRDefault="00F45C81" w:rsidP="00771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9FAD" w14:textId="6744D5C8" w:rsidR="00771FCA" w:rsidRDefault="00771FCA">
    <w:pPr>
      <w:pStyle w:val="Encabezado"/>
    </w:pPr>
    <w:r>
      <w:rPr>
        <w:noProof/>
      </w:rPr>
      <w:drawing>
        <wp:inline distT="0" distB="0" distL="0" distR="0" wp14:anchorId="5F030720" wp14:editId="006C60BE">
          <wp:extent cx="1381906" cy="714375"/>
          <wp:effectExtent l="0" t="0" r="8890" b="0"/>
          <wp:docPr id="284529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67" cy="7287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967315887">
    <w:abstractNumId w:val="8"/>
  </w:num>
  <w:num w:numId="2" w16cid:durableId="705839286">
    <w:abstractNumId w:val="6"/>
  </w:num>
  <w:num w:numId="3" w16cid:durableId="76176133">
    <w:abstractNumId w:val="5"/>
  </w:num>
  <w:num w:numId="4" w16cid:durableId="590771342">
    <w:abstractNumId w:val="4"/>
  </w:num>
  <w:num w:numId="5" w16cid:durableId="1688368242">
    <w:abstractNumId w:val="7"/>
  </w:num>
  <w:num w:numId="6" w16cid:durableId="1327630783">
    <w:abstractNumId w:val="3"/>
  </w:num>
  <w:num w:numId="7" w16cid:durableId="2032607434">
    <w:abstractNumId w:val="2"/>
  </w:num>
  <w:num w:numId="8" w16cid:durableId="1366448387">
    <w:abstractNumId w:val="1"/>
  </w:num>
  <w:num w:numId="9" w16cid:durableId="81174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019A3"/>
    <w:rsid w:val="00771FCA"/>
    <w:rsid w:val="00AA1D8D"/>
    <w:rsid w:val="00B47730"/>
    <w:rsid w:val="00C43C66"/>
    <w:rsid w:val="00CB0664"/>
    <w:rsid w:val="00F45C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70264"/>
  <w14:defaultImageDpi w14:val="300"/>
  <w15:docId w15:val="{CC171710-3E24-4A15-8110-76F9F189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1959</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Marcos X. Parra</cp:lastModifiedBy>
  <cp:revision>2</cp:revision>
  <dcterms:created xsi:type="dcterms:W3CDTF">2013-12-23T23:15:00Z</dcterms:created>
  <dcterms:modified xsi:type="dcterms:W3CDTF">2026-04-28T01:07:00Z</dcterms:modified>
  <cp:category/>
</cp:coreProperties>
</file>